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EC" w:rsidRDefault="00C255EC" w:rsidP="00C255EC">
      <w:pPr>
        <w:pStyle w:val="Heading2"/>
        <w:spacing w:after="120"/>
      </w:pPr>
      <w:bookmarkStart w:id="0" w:name="_Hlk503271453"/>
      <w:bookmarkStart w:id="1" w:name="_GoBack"/>
      <w:bookmarkEnd w:id="1"/>
      <w:r>
        <w:t>Purpose</w:t>
      </w:r>
    </w:p>
    <w:p w:rsidR="00F91E7C" w:rsidRDefault="00F91E7C" w:rsidP="00F91E7C">
      <w:pPr>
        <w:rPr>
          <w:sz w:val="19"/>
          <w:szCs w:val="19"/>
        </w:rPr>
      </w:pPr>
      <w:r w:rsidRPr="00B3452E">
        <w:rPr>
          <w:sz w:val="19"/>
          <w:szCs w:val="19"/>
        </w:rPr>
        <w:t>This document provides you with key information about this investment product. It is not marketing material. The information is required by law to help you understand the nature, risks, costs, potential gains and losses of this product and to help you compare it with other products.</w:t>
      </w:r>
    </w:p>
    <w:p w:rsidR="00DF58A4" w:rsidRDefault="00DF58A4" w:rsidP="00F91E7C">
      <w:pPr>
        <w:rPr>
          <w:sz w:val="19"/>
          <w:szCs w:val="19"/>
        </w:rPr>
      </w:pPr>
    </w:p>
    <w:p w:rsidR="00C255EC" w:rsidRDefault="00C255EC" w:rsidP="00C255EC">
      <w:pPr>
        <w:pStyle w:val="Heading2"/>
        <w:spacing w:after="120"/>
      </w:pPr>
      <w:r>
        <w:t>Product</w:t>
      </w:r>
    </w:p>
    <w:p w:rsidR="005E4493" w:rsidRDefault="005E4493" w:rsidP="00CF3DED">
      <w:pPr>
        <w:spacing w:after="0"/>
        <w:rPr>
          <w:sz w:val="20"/>
          <w:szCs w:val="20"/>
        </w:rPr>
      </w:pPr>
      <w:r w:rsidRPr="008A633F">
        <w:rPr>
          <w:b/>
          <w:sz w:val="20"/>
          <w:szCs w:val="20"/>
        </w:rPr>
        <w:t xml:space="preserve">Name of product – </w:t>
      </w:r>
      <w:r w:rsidRPr="008A633F">
        <w:rPr>
          <w:sz w:val="20"/>
          <w:szCs w:val="20"/>
        </w:rPr>
        <w:t>Ordinary shares of JZ Capital Partners Limited</w:t>
      </w:r>
    </w:p>
    <w:p w:rsidR="005E4493" w:rsidRDefault="005E4493" w:rsidP="00CF3DED">
      <w:pPr>
        <w:spacing w:after="0"/>
        <w:rPr>
          <w:sz w:val="20"/>
          <w:szCs w:val="20"/>
        </w:rPr>
      </w:pPr>
      <w:r w:rsidRPr="008A633F">
        <w:rPr>
          <w:b/>
          <w:sz w:val="20"/>
          <w:szCs w:val="20"/>
        </w:rPr>
        <w:t>Name of pro</w:t>
      </w:r>
      <w:r>
        <w:rPr>
          <w:b/>
          <w:sz w:val="20"/>
          <w:szCs w:val="20"/>
        </w:rPr>
        <w:t>d</w:t>
      </w:r>
      <w:r w:rsidRPr="008A633F">
        <w:rPr>
          <w:b/>
          <w:sz w:val="20"/>
          <w:szCs w:val="20"/>
        </w:rPr>
        <w:t xml:space="preserve">uct manufacturer – </w:t>
      </w:r>
      <w:r w:rsidRPr="008A633F">
        <w:rPr>
          <w:sz w:val="20"/>
          <w:szCs w:val="20"/>
        </w:rPr>
        <w:t>JZ Capital Partners Limited (“JZCP”)</w:t>
      </w:r>
    </w:p>
    <w:p w:rsidR="005E4493" w:rsidRDefault="005E4493" w:rsidP="00CF3DED">
      <w:pPr>
        <w:spacing w:after="0"/>
        <w:rPr>
          <w:b/>
          <w:sz w:val="20"/>
          <w:szCs w:val="20"/>
        </w:rPr>
      </w:pPr>
      <w:r w:rsidRPr="008A633F">
        <w:rPr>
          <w:b/>
          <w:sz w:val="20"/>
          <w:szCs w:val="20"/>
        </w:rPr>
        <w:t xml:space="preserve">ISIN – </w:t>
      </w:r>
      <w:r w:rsidRPr="008A633F">
        <w:rPr>
          <w:sz w:val="20"/>
          <w:szCs w:val="20"/>
        </w:rPr>
        <w:t>GG00B403HK58</w:t>
      </w:r>
      <w:r>
        <w:rPr>
          <w:b/>
          <w:sz w:val="20"/>
          <w:szCs w:val="20"/>
        </w:rPr>
        <w:t xml:space="preserve">    </w:t>
      </w:r>
    </w:p>
    <w:p w:rsidR="005E4493" w:rsidRDefault="005E4493" w:rsidP="00CF3DED">
      <w:pPr>
        <w:spacing w:after="0"/>
        <w:rPr>
          <w:sz w:val="20"/>
          <w:szCs w:val="20"/>
        </w:rPr>
      </w:pPr>
      <w:r w:rsidRPr="008A633F">
        <w:rPr>
          <w:b/>
          <w:sz w:val="20"/>
          <w:szCs w:val="20"/>
        </w:rPr>
        <w:t>Website –</w:t>
      </w:r>
      <w:r>
        <w:rPr>
          <w:b/>
          <w:sz w:val="20"/>
          <w:szCs w:val="20"/>
        </w:rPr>
        <w:t xml:space="preserve"> </w:t>
      </w:r>
      <w:hyperlink r:id="rId8" w:history="1">
        <w:r w:rsidRPr="008A633F">
          <w:rPr>
            <w:sz w:val="20"/>
            <w:szCs w:val="20"/>
          </w:rPr>
          <w:t>www.jzcp.com</w:t>
        </w:r>
      </w:hyperlink>
    </w:p>
    <w:p w:rsidR="005E4493" w:rsidRDefault="005E4493" w:rsidP="00CF3DED">
      <w:pPr>
        <w:spacing w:after="0"/>
        <w:rPr>
          <w:sz w:val="20"/>
          <w:szCs w:val="20"/>
        </w:rPr>
      </w:pPr>
      <w:r w:rsidRPr="008A633F">
        <w:rPr>
          <w:b/>
          <w:sz w:val="20"/>
          <w:szCs w:val="20"/>
        </w:rPr>
        <w:t xml:space="preserve">Call </w:t>
      </w:r>
      <w:r>
        <w:rPr>
          <w:b/>
          <w:sz w:val="20"/>
          <w:szCs w:val="20"/>
        </w:rPr>
        <w:t xml:space="preserve">- </w:t>
      </w:r>
      <w:r w:rsidRPr="00DF3E8F">
        <w:rPr>
          <w:sz w:val="20"/>
          <w:szCs w:val="20"/>
        </w:rPr>
        <w:t>FTI Consulting on</w:t>
      </w:r>
      <w:r w:rsidRPr="00DF3E8F">
        <w:rPr>
          <w:color w:val="FF0000"/>
          <w:sz w:val="20"/>
          <w:szCs w:val="20"/>
        </w:rPr>
        <w:t xml:space="preserve"> </w:t>
      </w:r>
      <w:r w:rsidRPr="00DF3E8F">
        <w:rPr>
          <w:sz w:val="20"/>
          <w:szCs w:val="20"/>
        </w:rPr>
        <w:t>+44 (0)20 3727 1143/1016 for more information</w:t>
      </w:r>
    </w:p>
    <w:p w:rsidR="005E4493" w:rsidRDefault="005E4493" w:rsidP="00CF3DED">
      <w:pPr>
        <w:spacing w:after="0"/>
        <w:rPr>
          <w:sz w:val="20"/>
          <w:szCs w:val="20"/>
        </w:rPr>
      </w:pPr>
      <w:r>
        <w:rPr>
          <w:b/>
          <w:sz w:val="20"/>
          <w:szCs w:val="20"/>
        </w:rPr>
        <w:t xml:space="preserve">Competent authority responsible for the supervision of the product manufacturer in relation to this document </w:t>
      </w:r>
      <w:r w:rsidRPr="002B62D1">
        <w:rPr>
          <w:sz w:val="20"/>
          <w:szCs w:val="20"/>
        </w:rPr>
        <w:t>–</w:t>
      </w:r>
      <w:r>
        <w:rPr>
          <w:b/>
          <w:sz w:val="20"/>
          <w:szCs w:val="20"/>
        </w:rPr>
        <w:t xml:space="preserve"> </w:t>
      </w:r>
      <w:r>
        <w:rPr>
          <w:sz w:val="20"/>
          <w:szCs w:val="20"/>
        </w:rPr>
        <w:t>Guernsey Financial Services Commission</w:t>
      </w:r>
    </w:p>
    <w:p w:rsidR="005E4493" w:rsidRDefault="005E4493" w:rsidP="00CF3DED">
      <w:pPr>
        <w:spacing w:after="0"/>
        <w:rPr>
          <w:b/>
          <w:sz w:val="20"/>
          <w:szCs w:val="20"/>
        </w:rPr>
      </w:pPr>
      <w:r w:rsidRPr="008A633F">
        <w:rPr>
          <w:b/>
          <w:sz w:val="20"/>
          <w:szCs w:val="20"/>
        </w:rPr>
        <w:t>Date of production of this document –</w:t>
      </w:r>
      <w:r>
        <w:rPr>
          <w:color w:val="FF0000"/>
          <w:sz w:val="20"/>
          <w:szCs w:val="20"/>
        </w:rPr>
        <w:t xml:space="preserve"> </w:t>
      </w:r>
      <w:r w:rsidR="00BB43B4">
        <w:rPr>
          <w:sz w:val="20"/>
          <w:szCs w:val="20"/>
        </w:rPr>
        <w:t>12</w:t>
      </w:r>
      <w:r>
        <w:rPr>
          <w:sz w:val="20"/>
          <w:szCs w:val="20"/>
        </w:rPr>
        <w:t>th</w:t>
      </w:r>
      <w:r w:rsidRPr="008A633F">
        <w:rPr>
          <w:sz w:val="20"/>
          <w:szCs w:val="20"/>
        </w:rPr>
        <w:t xml:space="preserve"> </w:t>
      </w:r>
      <w:r w:rsidR="00BB43B4">
        <w:rPr>
          <w:sz w:val="20"/>
          <w:szCs w:val="20"/>
        </w:rPr>
        <w:t>January</w:t>
      </w:r>
      <w:r w:rsidRPr="008A633F">
        <w:rPr>
          <w:sz w:val="20"/>
          <w:szCs w:val="20"/>
        </w:rPr>
        <w:t xml:space="preserve"> 201</w:t>
      </w:r>
      <w:r w:rsidR="00BB43B4">
        <w:rPr>
          <w:sz w:val="20"/>
          <w:szCs w:val="20"/>
        </w:rPr>
        <w:t>8</w:t>
      </w:r>
    </w:p>
    <w:p w:rsidR="00C255EC" w:rsidRDefault="00C255EC" w:rsidP="00C255EC"/>
    <w:p w:rsidR="00DF58A4" w:rsidRDefault="00DF58A4" w:rsidP="00DF58A4">
      <w:pPr>
        <w:pStyle w:val="Heading2"/>
        <w:spacing w:after="120"/>
      </w:pPr>
      <w:r w:rsidRPr="00DF58A4">
        <w:t>You are about to purchase a product that is not simple and may be difficult to understand</w:t>
      </w:r>
      <w:r>
        <w:t xml:space="preserve"> </w:t>
      </w:r>
      <w:r w:rsidRPr="00B37079">
        <w:t xml:space="preserve"> </w:t>
      </w:r>
    </w:p>
    <w:p w:rsidR="00DF58A4" w:rsidRPr="00DF58A4" w:rsidRDefault="00DF58A4" w:rsidP="00DF58A4"/>
    <w:p w:rsidR="00C255EC" w:rsidRDefault="00C255EC" w:rsidP="00C255EC">
      <w:pPr>
        <w:pStyle w:val="Heading2"/>
        <w:spacing w:after="120"/>
      </w:pPr>
      <w:r>
        <w:t>What is this p</w:t>
      </w:r>
      <w:r w:rsidR="00DC1205">
        <w:t>roduct?</w:t>
      </w:r>
    </w:p>
    <w:p w:rsidR="005E4493" w:rsidRDefault="005E4493" w:rsidP="005E4493">
      <w:pPr>
        <w:spacing w:after="40"/>
        <w:rPr>
          <w:b/>
          <w:sz w:val="20"/>
          <w:szCs w:val="20"/>
        </w:rPr>
      </w:pPr>
      <w:r w:rsidRPr="0045473F">
        <w:rPr>
          <w:b/>
          <w:sz w:val="20"/>
          <w:szCs w:val="20"/>
        </w:rPr>
        <w:t>Type</w:t>
      </w:r>
    </w:p>
    <w:p w:rsidR="005E4493" w:rsidRDefault="005E4493" w:rsidP="005E4493">
      <w:pPr>
        <w:spacing w:after="40"/>
        <w:rPr>
          <w:sz w:val="19"/>
          <w:szCs w:val="19"/>
        </w:rPr>
      </w:pPr>
      <w:r w:rsidRPr="00E53A77">
        <w:rPr>
          <w:sz w:val="19"/>
          <w:szCs w:val="19"/>
        </w:rPr>
        <w:t>Ordinary shares of an authorised closed-ended investment company incorporated in Guernsey.</w:t>
      </w:r>
    </w:p>
    <w:p w:rsidR="005E4493" w:rsidRPr="00704DF2" w:rsidRDefault="005E4493" w:rsidP="005E4493">
      <w:pPr>
        <w:spacing w:after="40"/>
        <w:rPr>
          <w:b/>
          <w:sz w:val="20"/>
          <w:szCs w:val="20"/>
        </w:rPr>
      </w:pPr>
      <w:r>
        <w:rPr>
          <w:b/>
          <w:sz w:val="20"/>
          <w:szCs w:val="20"/>
        </w:rPr>
        <w:t>Objectives</w:t>
      </w:r>
    </w:p>
    <w:p w:rsidR="005E4493" w:rsidRPr="00E53A77" w:rsidRDefault="005E4493" w:rsidP="005E4493">
      <w:pPr>
        <w:spacing w:after="40"/>
        <w:rPr>
          <w:sz w:val="19"/>
          <w:szCs w:val="19"/>
        </w:rPr>
      </w:pPr>
      <w:r w:rsidRPr="00E53A77">
        <w:rPr>
          <w:sz w:val="19"/>
          <w:szCs w:val="19"/>
        </w:rPr>
        <w:t>JZCP’s objective is to create a portfolio of investments providing capital appreciation by investing in U.S. and European micro-cap companies, as well as in real estate in the U.S.</w:t>
      </w:r>
    </w:p>
    <w:p w:rsidR="005E4493" w:rsidRPr="00E53A77" w:rsidRDefault="005E4493" w:rsidP="005E4493">
      <w:pPr>
        <w:spacing w:after="40"/>
        <w:rPr>
          <w:sz w:val="19"/>
          <w:szCs w:val="19"/>
        </w:rPr>
      </w:pPr>
      <w:r w:rsidRPr="00E53A77">
        <w:rPr>
          <w:sz w:val="19"/>
          <w:szCs w:val="19"/>
        </w:rPr>
        <w:t>The product has no maturity date and, save for any payments of dividends or other returns (e.g. on a winding up), JZCP is not expecting to make payments to shareholders. The objective of the product is to generate returns by an increase in the market value of the shares, which can be realised by the sale of your shares through a bank or stockbroker. In the short term, JZCP does not expect to make payments directly to you of dividends or other returns.</w:t>
      </w:r>
    </w:p>
    <w:p w:rsidR="005E4493" w:rsidRDefault="005E4493" w:rsidP="005E4493">
      <w:pPr>
        <w:spacing w:after="40"/>
        <w:rPr>
          <w:sz w:val="19"/>
          <w:szCs w:val="19"/>
        </w:rPr>
      </w:pPr>
      <w:r w:rsidRPr="00E53A77">
        <w:rPr>
          <w:sz w:val="19"/>
          <w:szCs w:val="19"/>
        </w:rPr>
        <w:t xml:space="preserve">JZCP has borrowed to purchase assets and may increase or decrease the level of such borrowing. This could potentially magnify any gains or losses made by JZCP. </w:t>
      </w:r>
    </w:p>
    <w:p w:rsidR="005E4493" w:rsidRDefault="005E4493" w:rsidP="005E4493">
      <w:pPr>
        <w:spacing w:after="40"/>
        <w:rPr>
          <w:b/>
          <w:sz w:val="20"/>
          <w:szCs w:val="20"/>
        </w:rPr>
      </w:pPr>
      <w:r w:rsidRPr="002233B3">
        <w:rPr>
          <w:b/>
          <w:sz w:val="20"/>
          <w:szCs w:val="20"/>
        </w:rPr>
        <w:t>Intended retail investor</w:t>
      </w:r>
    </w:p>
    <w:p w:rsidR="005E4493" w:rsidRPr="00E53A77" w:rsidRDefault="005E4493" w:rsidP="005E4493">
      <w:pPr>
        <w:spacing w:after="40"/>
        <w:rPr>
          <w:sz w:val="19"/>
          <w:szCs w:val="19"/>
        </w:rPr>
      </w:pPr>
      <w:r w:rsidRPr="00E53A77">
        <w:rPr>
          <w:sz w:val="19"/>
          <w:szCs w:val="19"/>
        </w:rPr>
        <w:t xml:space="preserve">This product is intended </w:t>
      </w:r>
      <w:r>
        <w:rPr>
          <w:sz w:val="19"/>
          <w:szCs w:val="19"/>
        </w:rPr>
        <w:t>for</w:t>
      </w:r>
      <w:r w:rsidRPr="00E53A77">
        <w:rPr>
          <w:sz w:val="19"/>
          <w:szCs w:val="19"/>
        </w:rPr>
        <w:t xml:space="preserve"> retail investors who:</w:t>
      </w:r>
    </w:p>
    <w:p w:rsidR="005E4493" w:rsidRPr="00E53A77" w:rsidRDefault="005E4493" w:rsidP="0041617E">
      <w:pPr>
        <w:spacing w:after="0"/>
        <w:rPr>
          <w:sz w:val="19"/>
          <w:szCs w:val="19"/>
        </w:rPr>
      </w:pPr>
      <w:r w:rsidRPr="00E53A77">
        <w:rPr>
          <w:sz w:val="19"/>
          <w:szCs w:val="19"/>
        </w:rPr>
        <w:t>i.</w:t>
      </w:r>
      <w:r w:rsidRPr="00E53A77">
        <w:rPr>
          <w:sz w:val="19"/>
          <w:szCs w:val="19"/>
        </w:rPr>
        <w:tab/>
        <w:t>have a long-term investment horizon of 5 years or more;</w:t>
      </w:r>
    </w:p>
    <w:p w:rsidR="005E4493" w:rsidRPr="00C72A3E" w:rsidRDefault="005E4493" w:rsidP="0041617E">
      <w:pPr>
        <w:spacing w:after="0"/>
        <w:rPr>
          <w:sz w:val="19"/>
          <w:szCs w:val="19"/>
        </w:rPr>
      </w:pPr>
      <w:r w:rsidRPr="00C72A3E">
        <w:rPr>
          <w:sz w:val="19"/>
          <w:szCs w:val="19"/>
        </w:rPr>
        <w:t>ii.</w:t>
      </w:r>
      <w:r w:rsidRPr="00C72A3E">
        <w:rPr>
          <w:sz w:val="19"/>
          <w:szCs w:val="19"/>
        </w:rPr>
        <w:tab/>
        <w:t>are able to bear a total loss of the invested amount;</w:t>
      </w:r>
    </w:p>
    <w:p w:rsidR="005E4493" w:rsidRPr="00E53A77" w:rsidRDefault="005E4493" w:rsidP="0041617E">
      <w:pPr>
        <w:spacing w:after="0"/>
        <w:rPr>
          <w:sz w:val="19"/>
          <w:szCs w:val="19"/>
        </w:rPr>
      </w:pPr>
      <w:r w:rsidRPr="00E53A77">
        <w:rPr>
          <w:sz w:val="19"/>
          <w:szCs w:val="19"/>
        </w:rPr>
        <w:t>iii.</w:t>
      </w:r>
      <w:r w:rsidRPr="00E53A77">
        <w:rPr>
          <w:sz w:val="19"/>
          <w:szCs w:val="19"/>
        </w:rPr>
        <w:tab/>
        <w:t>have a basic knowledge of, and experience with, financial products and the financial markets generally;</w:t>
      </w:r>
      <w:r>
        <w:rPr>
          <w:sz w:val="19"/>
          <w:szCs w:val="19"/>
        </w:rPr>
        <w:t xml:space="preserve"> and</w:t>
      </w:r>
    </w:p>
    <w:p w:rsidR="005E4493" w:rsidRPr="006706F7" w:rsidRDefault="005E4493" w:rsidP="0041617E">
      <w:pPr>
        <w:spacing w:after="0"/>
        <w:rPr>
          <w:b/>
          <w:sz w:val="19"/>
          <w:szCs w:val="19"/>
        </w:rPr>
      </w:pPr>
      <w:r w:rsidRPr="00E53A77">
        <w:rPr>
          <w:sz w:val="19"/>
          <w:szCs w:val="19"/>
        </w:rPr>
        <w:t>iv.</w:t>
      </w:r>
      <w:r w:rsidRPr="00E53A77">
        <w:rPr>
          <w:sz w:val="19"/>
          <w:szCs w:val="19"/>
        </w:rPr>
        <w:tab/>
        <w:t>have a growth investment objective</w:t>
      </w:r>
      <w:r>
        <w:rPr>
          <w:sz w:val="19"/>
          <w:szCs w:val="19"/>
        </w:rPr>
        <w:t>.</w:t>
      </w:r>
    </w:p>
    <w:p w:rsidR="00C255EC" w:rsidRDefault="00C255EC" w:rsidP="00C255EC"/>
    <w:p w:rsidR="00C255EC" w:rsidRDefault="00DC1205" w:rsidP="00C255EC">
      <w:pPr>
        <w:pStyle w:val="Heading2"/>
        <w:spacing w:after="120"/>
      </w:pPr>
      <w:r>
        <w:t>What are the risks and what could I get in return?</w:t>
      </w:r>
    </w:p>
    <w:p w:rsidR="00A2572C" w:rsidRPr="00A2572C" w:rsidRDefault="00A2572C" w:rsidP="00A2572C">
      <w:pPr>
        <w:spacing w:after="40"/>
        <w:rPr>
          <w:b/>
          <w:sz w:val="20"/>
          <w:szCs w:val="20"/>
        </w:rPr>
      </w:pPr>
      <w:r w:rsidRPr="00A2572C">
        <w:rPr>
          <w:b/>
          <w:sz w:val="20"/>
          <w:szCs w:val="20"/>
        </w:rPr>
        <w:t>Risk Indicator</w:t>
      </w:r>
    </w:p>
    <w:p w:rsidR="005E4493" w:rsidRPr="00E53A77" w:rsidRDefault="005E4493" w:rsidP="005E4493">
      <w:pPr>
        <w:rPr>
          <w:sz w:val="19"/>
          <w:szCs w:val="19"/>
        </w:rPr>
      </w:pPr>
      <w:r w:rsidRPr="00E53A77">
        <w:rPr>
          <w:sz w:val="19"/>
          <w:szCs w:val="19"/>
        </w:rPr>
        <w:t xml:space="preserve">The summary risk indicator is a guide to the level of risk of this product compared to other products. It shows how likely it is that the product will lose money because of movements in the markets or because </w:t>
      </w:r>
      <w:r>
        <w:rPr>
          <w:sz w:val="19"/>
          <w:szCs w:val="19"/>
        </w:rPr>
        <w:t>JZCP</w:t>
      </w:r>
      <w:r w:rsidRPr="00E53A77">
        <w:rPr>
          <w:sz w:val="19"/>
          <w:szCs w:val="19"/>
        </w:rPr>
        <w:t xml:space="preserve"> are not able to pay you.</w:t>
      </w:r>
    </w:p>
    <w:p w:rsidR="005E4493" w:rsidRDefault="00721952" w:rsidP="005E4493">
      <w:r>
        <w:tab/>
      </w:r>
      <w:r w:rsidR="002C6B23" w:rsidRPr="002C6B23">
        <w:rPr>
          <w:noProof/>
          <w:lang w:eastAsia="en-GB"/>
        </w:rPr>
        <w:drawing>
          <wp:inline distT="0" distB="0" distL="0" distR="0">
            <wp:extent cx="4945380" cy="12039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380" cy="1203960"/>
                    </a:xfrm>
                    <a:prstGeom prst="rect">
                      <a:avLst/>
                    </a:prstGeom>
                    <a:noFill/>
                    <a:ln>
                      <a:noFill/>
                    </a:ln>
                  </pic:spPr>
                </pic:pic>
              </a:graphicData>
            </a:graphic>
          </wp:inline>
        </w:drawing>
      </w:r>
    </w:p>
    <w:p w:rsidR="00CF3DED" w:rsidRPr="005E4493" w:rsidRDefault="00CF3DED" w:rsidP="005E4493"/>
    <w:p w:rsidR="00720DFF" w:rsidRDefault="00720DFF" w:rsidP="00720DFF">
      <w:pPr>
        <w:rPr>
          <w:sz w:val="19"/>
          <w:szCs w:val="19"/>
        </w:rPr>
      </w:pPr>
      <w:r>
        <w:rPr>
          <w:sz w:val="19"/>
          <w:szCs w:val="19"/>
        </w:rPr>
        <w:t>JZCP have classified this product as 3 out of 7 which is a medium-low risk class. This rates the potential losses from future performance at a medium low-level.</w:t>
      </w:r>
    </w:p>
    <w:p w:rsidR="00720DFF" w:rsidRDefault="00720DFF" w:rsidP="00720DFF">
      <w:pPr>
        <w:rPr>
          <w:sz w:val="19"/>
          <w:szCs w:val="19"/>
        </w:rPr>
      </w:pPr>
      <w:r>
        <w:rPr>
          <w:sz w:val="19"/>
          <w:szCs w:val="19"/>
        </w:rPr>
        <w:t>The market price of the product has not historically tracked JZCP's net asset value per share. Changes in leverage may impact the volatility of the market price of the product.</w:t>
      </w:r>
    </w:p>
    <w:p w:rsidR="00720DFF" w:rsidRDefault="00720DFF" w:rsidP="00720DFF">
      <w:pPr>
        <w:rPr>
          <w:b/>
          <w:sz w:val="19"/>
          <w:szCs w:val="19"/>
        </w:rPr>
      </w:pPr>
      <w:r>
        <w:rPr>
          <w:sz w:val="19"/>
          <w:szCs w:val="19"/>
        </w:rPr>
        <w:t>This product does not include any protection from future market performance so you could lose some or all of your investment.</w:t>
      </w:r>
    </w:p>
    <w:p w:rsidR="00256DDB" w:rsidRDefault="00256DDB" w:rsidP="00256DDB">
      <w:pPr>
        <w:pStyle w:val="Heading2"/>
        <w:spacing w:after="120"/>
      </w:pPr>
      <w:r>
        <w:lastRenderedPageBreak/>
        <w:t>What are the risks and what could I get in return? (continued)</w:t>
      </w:r>
    </w:p>
    <w:p w:rsidR="00256DDB" w:rsidRDefault="00256DDB" w:rsidP="00256DDB">
      <w:pPr>
        <w:spacing w:after="40"/>
        <w:rPr>
          <w:b/>
          <w:sz w:val="20"/>
          <w:szCs w:val="20"/>
        </w:rPr>
      </w:pPr>
      <w:r>
        <w:rPr>
          <w:b/>
          <w:sz w:val="20"/>
          <w:szCs w:val="20"/>
        </w:rPr>
        <w:t>Performance Scenarios</w:t>
      </w:r>
    </w:p>
    <w:tbl>
      <w:tblPr>
        <w:tblW w:w="11000" w:type="dxa"/>
        <w:tblLook w:val="04A0" w:firstRow="1" w:lastRow="0" w:firstColumn="1" w:lastColumn="0" w:noHBand="0" w:noVBand="1"/>
      </w:tblPr>
      <w:tblGrid>
        <w:gridCol w:w="2143"/>
        <w:gridCol w:w="3597"/>
        <w:gridCol w:w="1540"/>
        <w:gridCol w:w="1540"/>
        <w:gridCol w:w="2180"/>
      </w:tblGrid>
      <w:tr w:rsidR="002978F3" w:rsidRPr="002978F3" w:rsidTr="002978F3">
        <w:trPr>
          <w:trHeight w:val="750"/>
        </w:trPr>
        <w:tc>
          <w:tcPr>
            <w:tcW w:w="5740" w:type="dxa"/>
            <w:gridSpan w:val="2"/>
            <w:tcBorders>
              <w:top w:val="single" w:sz="4" w:space="0" w:color="FFFFFF"/>
              <w:left w:val="single" w:sz="4" w:space="0" w:color="FFFFFF"/>
              <w:bottom w:val="single" w:sz="4" w:space="0" w:color="FFFFFF"/>
              <w:right w:val="single" w:sz="4" w:space="0" w:color="FFFFFF"/>
            </w:tcBorders>
            <w:shd w:val="clear" w:color="000000" w:fill="5B9BD5"/>
            <w:vAlign w:val="center"/>
            <w:hideMark/>
          </w:tcPr>
          <w:p w:rsidR="002978F3" w:rsidRPr="002978F3" w:rsidRDefault="002978F3" w:rsidP="002978F3">
            <w:pPr>
              <w:spacing w:after="0"/>
              <w:rPr>
                <w:rFonts w:ascii="Georgia" w:eastAsia="Times New Roman" w:hAnsi="Georgia" w:cs="Calibri"/>
                <w:b/>
                <w:bCs/>
                <w:color w:val="FFFFFF"/>
                <w:sz w:val="20"/>
                <w:szCs w:val="20"/>
                <w:lang w:eastAsia="en-GB"/>
              </w:rPr>
            </w:pPr>
            <w:r w:rsidRPr="002978F3">
              <w:rPr>
                <w:rFonts w:ascii="Georgia" w:eastAsia="Times New Roman" w:hAnsi="Georgia" w:cs="Calibri"/>
                <w:b/>
                <w:bCs/>
                <w:color w:val="FFFFFF"/>
                <w:sz w:val="20"/>
                <w:szCs w:val="20"/>
                <w:lang w:eastAsia="en-GB"/>
              </w:rPr>
              <w:t>Investment £10,000</w:t>
            </w:r>
            <w:r w:rsidRPr="002978F3">
              <w:rPr>
                <w:rFonts w:ascii="Georgia" w:eastAsia="Times New Roman" w:hAnsi="Georgia" w:cs="Calibri"/>
                <w:b/>
                <w:bCs/>
                <w:color w:val="FFFFFF"/>
                <w:sz w:val="20"/>
                <w:szCs w:val="20"/>
                <w:lang w:eastAsia="en-GB"/>
              </w:rPr>
              <w:br/>
              <w:t xml:space="preserve"> Scenarios</w:t>
            </w:r>
          </w:p>
        </w:tc>
        <w:tc>
          <w:tcPr>
            <w:tcW w:w="1540" w:type="dxa"/>
            <w:tcBorders>
              <w:top w:val="single" w:sz="4" w:space="0" w:color="FFFFFF"/>
              <w:left w:val="nil"/>
              <w:bottom w:val="single" w:sz="4" w:space="0" w:color="FFFFFF"/>
              <w:right w:val="single" w:sz="4" w:space="0" w:color="FFFFFF"/>
            </w:tcBorders>
            <w:shd w:val="clear" w:color="000000" w:fill="5B9BD5"/>
            <w:noWrap/>
            <w:vAlign w:val="center"/>
            <w:hideMark/>
          </w:tcPr>
          <w:p w:rsidR="002978F3" w:rsidRPr="002978F3" w:rsidRDefault="002978F3" w:rsidP="002978F3">
            <w:pPr>
              <w:spacing w:after="0"/>
              <w:jc w:val="center"/>
              <w:rPr>
                <w:rFonts w:ascii="Georgia" w:eastAsia="Times New Roman" w:hAnsi="Georgia" w:cs="Calibri"/>
                <w:b/>
                <w:bCs/>
                <w:color w:val="FFFFFF"/>
                <w:sz w:val="20"/>
                <w:szCs w:val="20"/>
                <w:lang w:eastAsia="en-GB"/>
              </w:rPr>
            </w:pPr>
            <w:r w:rsidRPr="002978F3">
              <w:rPr>
                <w:rFonts w:ascii="Georgia" w:eastAsia="Times New Roman" w:hAnsi="Georgia" w:cs="Calibri"/>
                <w:b/>
                <w:bCs/>
                <w:color w:val="FFFFFF"/>
                <w:sz w:val="20"/>
                <w:szCs w:val="20"/>
                <w:lang w:eastAsia="en-GB"/>
              </w:rPr>
              <w:t>1 Year</w:t>
            </w:r>
          </w:p>
        </w:tc>
        <w:tc>
          <w:tcPr>
            <w:tcW w:w="1540" w:type="dxa"/>
            <w:tcBorders>
              <w:top w:val="single" w:sz="4" w:space="0" w:color="FFFFFF"/>
              <w:left w:val="nil"/>
              <w:bottom w:val="single" w:sz="4" w:space="0" w:color="FFFFFF"/>
              <w:right w:val="single" w:sz="4" w:space="0" w:color="FFFFFF"/>
            </w:tcBorders>
            <w:shd w:val="clear" w:color="000000" w:fill="5B9BD5"/>
            <w:noWrap/>
            <w:vAlign w:val="center"/>
            <w:hideMark/>
          </w:tcPr>
          <w:p w:rsidR="002978F3" w:rsidRPr="002978F3" w:rsidRDefault="002978F3" w:rsidP="002978F3">
            <w:pPr>
              <w:spacing w:after="0"/>
              <w:jc w:val="center"/>
              <w:rPr>
                <w:rFonts w:ascii="Georgia" w:eastAsia="Times New Roman" w:hAnsi="Georgia" w:cs="Calibri"/>
                <w:b/>
                <w:bCs/>
                <w:color w:val="FFFFFF"/>
                <w:sz w:val="20"/>
                <w:szCs w:val="20"/>
                <w:lang w:eastAsia="en-GB"/>
              </w:rPr>
            </w:pPr>
            <w:r w:rsidRPr="002978F3">
              <w:rPr>
                <w:rFonts w:ascii="Georgia" w:eastAsia="Times New Roman" w:hAnsi="Georgia" w:cs="Calibri"/>
                <w:b/>
                <w:bCs/>
                <w:color w:val="FFFFFF"/>
                <w:sz w:val="20"/>
                <w:szCs w:val="20"/>
                <w:lang w:eastAsia="en-GB"/>
              </w:rPr>
              <w:t>3 Years</w:t>
            </w:r>
          </w:p>
        </w:tc>
        <w:tc>
          <w:tcPr>
            <w:tcW w:w="2180" w:type="dxa"/>
            <w:tcBorders>
              <w:top w:val="single" w:sz="4" w:space="0" w:color="FFFFFF"/>
              <w:left w:val="nil"/>
              <w:bottom w:val="single" w:sz="4" w:space="0" w:color="FFFFFF"/>
              <w:right w:val="single" w:sz="4" w:space="0" w:color="FFFFFF"/>
            </w:tcBorders>
            <w:shd w:val="clear" w:color="000000" w:fill="5B9BD5"/>
            <w:vAlign w:val="center"/>
            <w:hideMark/>
          </w:tcPr>
          <w:p w:rsidR="002978F3" w:rsidRPr="002978F3" w:rsidRDefault="002978F3" w:rsidP="002978F3">
            <w:pPr>
              <w:spacing w:after="0"/>
              <w:jc w:val="center"/>
              <w:rPr>
                <w:rFonts w:ascii="Georgia" w:eastAsia="Times New Roman" w:hAnsi="Georgia" w:cs="Calibri"/>
                <w:b/>
                <w:bCs/>
                <w:color w:val="FFFFFF"/>
                <w:sz w:val="20"/>
                <w:szCs w:val="20"/>
                <w:lang w:eastAsia="en-GB"/>
              </w:rPr>
            </w:pPr>
            <w:r w:rsidRPr="002978F3">
              <w:rPr>
                <w:rFonts w:ascii="Georgia" w:eastAsia="Times New Roman" w:hAnsi="Georgia" w:cs="Calibri"/>
                <w:b/>
                <w:bCs/>
                <w:color w:val="FFFFFF"/>
                <w:sz w:val="20"/>
                <w:szCs w:val="20"/>
                <w:lang w:eastAsia="en-GB"/>
              </w:rPr>
              <w:t>5 Years (Recommended holding period)</w:t>
            </w:r>
          </w:p>
        </w:tc>
      </w:tr>
      <w:tr w:rsidR="002978F3" w:rsidRPr="002978F3" w:rsidTr="002978F3">
        <w:trPr>
          <w:trHeight w:val="510"/>
        </w:trPr>
        <w:tc>
          <w:tcPr>
            <w:tcW w:w="2143" w:type="dxa"/>
            <w:tcBorders>
              <w:top w:val="nil"/>
              <w:left w:val="single" w:sz="4" w:space="0" w:color="5B9BD5"/>
              <w:bottom w:val="single" w:sz="4" w:space="0" w:color="5B9BD5"/>
              <w:right w:val="single" w:sz="4" w:space="0" w:color="5B9BD5"/>
            </w:tcBorders>
            <w:shd w:val="clear" w:color="auto" w:fill="auto"/>
            <w:noWrap/>
            <w:hideMark/>
          </w:tcPr>
          <w:p w:rsidR="002978F3" w:rsidRPr="002978F3" w:rsidRDefault="002978F3" w:rsidP="002978F3">
            <w:pPr>
              <w:spacing w:after="0"/>
              <w:rPr>
                <w:rFonts w:ascii="Georgia" w:eastAsia="Times New Roman" w:hAnsi="Georgia" w:cs="Calibri"/>
                <w:b/>
                <w:bCs/>
                <w:color w:val="000000"/>
                <w:sz w:val="18"/>
                <w:szCs w:val="18"/>
                <w:lang w:eastAsia="en-GB"/>
              </w:rPr>
            </w:pPr>
            <w:r w:rsidRPr="002978F3">
              <w:rPr>
                <w:rFonts w:ascii="Georgia" w:eastAsia="Times New Roman" w:hAnsi="Georgia" w:cs="Calibri"/>
                <w:b/>
                <w:bCs/>
                <w:color w:val="000000"/>
                <w:sz w:val="18"/>
                <w:szCs w:val="18"/>
                <w:lang w:eastAsia="en-GB"/>
              </w:rPr>
              <w:t>Stress scenario</w:t>
            </w:r>
          </w:p>
        </w:tc>
        <w:tc>
          <w:tcPr>
            <w:tcW w:w="3597" w:type="dxa"/>
            <w:tcBorders>
              <w:top w:val="nil"/>
              <w:left w:val="nil"/>
              <w:bottom w:val="single" w:sz="4" w:space="0" w:color="5B9BD5"/>
              <w:right w:val="single" w:sz="4" w:space="0" w:color="5B9BD5"/>
            </w:tcBorders>
            <w:shd w:val="clear" w:color="auto" w:fill="auto"/>
            <w:hideMark/>
          </w:tcPr>
          <w:p w:rsidR="002978F3" w:rsidRPr="002978F3" w:rsidRDefault="002978F3" w:rsidP="002978F3">
            <w:pPr>
              <w:spacing w:after="0"/>
              <w:rPr>
                <w:rFonts w:ascii="Georgia" w:eastAsia="Times New Roman" w:hAnsi="Georgia" w:cs="Calibri"/>
                <w:color w:val="000000"/>
                <w:sz w:val="18"/>
                <w:szCs w:val="18"/>
                <w:lang w:eastAsia="en-GB"/>
              </w:rPr>
            </w:pPr>
            <w:r w:rsidRPr="002978F3">
              <w:rPr>
                <w:rFonts w:ascii="Georgia" w:eastAsia="Times New Roman" w:hAnsi="Georgia" w:cs="Calibri"/>
                <w:b/>
                <w:bCs/>
                <w:color w:val="000000"/>
                <w:sz w:val="18"/>
                <w:szCs w:val="18"/>
                <w:lang w:eastAsia="en-GB"/>
              </w:rPr>
              <w:t>What you might get back after costs</w:t>
            </w:r>
            <w:r w:rsidRPr="002978F3">
              <w:rPr>
                <w:rFonts w:ascii="Georgia" w:eastAsia="Times New Roman" w:hAnsi="Georgia" w:cs="Calibri"/>
                <w:color w:val="000000"/>
                <w:sz w:val="18"/>
                <w:szCs w:val="18"/>
                <w:lang w:eastAsia="en-GB"/>
              </w:rPr>
              <w:br/>
              <w:t>Average return each year</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£5,1</w:t>
            </w:r>
            <w:r w:rsidR="00167F00">
              <w:rPr>
                <w:rFonts w:ascii="Georgia" w:eastAsia="Times New Roman" w:hAnsi="Georgia" w:cs="Calibri"/>
                <w:color w:val="000000"/>
                <w:sz w:val="19"/>
                <w:szCs w:val="19"/>
                <w:lang w:eastAsia="en-GB"/>
              </w:rPr>
              <w:t>66</w:t>
            </w:r>
            <w:r w:rsidRPr="002978F3">
              <w:rPr>
                <w:rFonts w:ascii="Georgia" w:eastAsia="Times New Roman" w:hAnsi="Georgia" w:cs="Calibri"/>
                <w:color w:val="000000"/>
                <w:sz w:val="19"/>
                <w:szCs w:val="19"/>
                <w:lang w:eastAsia="en-GB"/>
              </w:rPr>
              <w:br/>
              <w:t xml:space="preserve"> -48.</w:t>
            </w:r>
            <w:r w:rsidR="00964A7B">
              <w:rPr>
                <w:rFonts w:ascii="Georgia" w:eastAsia="Times New Roman" w:hAnsi="Georgia" w:cs="Calibri"/>
                <w:color w:val="000000"/>
                <w:sz w:val="19"/>
                <w:szCs w:val="19"/>
                <w:lang w:eastAsia="en-GB"/>
              </w:rPr>
              <w:t>3</w:t>
            </w:r>
            <w:r w:rsidRPr="002978F3">
              <w:rPr>
                <w:rFonts w:ascii="Georgia" w:eastAsia="Times New Roman" w:hAnsi="Georgia" w:cs="Calibri"/>
                <w:color w:val="000000"/>
                <w:sz w:val="19"/>
                <w:szCs w:val="19"/>
                <w:lang w:eastAsia="en-GB"/>
              </w:rPr>
              <w:t>%</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£7,</w:t>
            </w:r>
            <w:r w:rsidR="00DD6867">
              <w:rPr>
                <w:rFonts w:ascii="Georgia" w:eastAsia="Times New Roman" w:hAnsi="Georgia" w:cs="Calibri"/>
                <w:color w:val="000000"/>
                <w:sz w:val="19"/>
                <w:szCs w:val="19"/>
                <w:lang w:eastAsia="en-GB"/>
              </w:rPr>
              <w:t>648</w:t>
            </w:r>
            <w:r w:rsidRPr="002978F3">
              <w:rPr>
                <w:rFonts w:ascii="Georgia" w:eastAsia="Times New Roman" w:hAnsi="Georgia" w:cs="Calibri"/>
                <w:color w:val="000000"/>
                <w:sz w:val="19"/>
                <w:szCs w:val="19"/>
                <w:lang w:eastAsia="en-GB"/>
              </w:rPr>
              <w:br/>
              <w:t xml:space="preserve"> -</w:t>
            </w:r>
            <w:r w:rsidR="00964A7B">
              <w:rPr>
                <w:rFonts w:ascii="Georgia" w:eastAsia="Times New Roman" w:hAnsi="Georgia" w:cs="Calibri"/>
                <w:color w:val="000000"/>
                <w:sz w:val="19"/>
                <w:szCs w:val="19"/>
                <w:lang w:eastAsia="en-GB"/>
              </w:rPr>
              <w:t>8.6</w:t>
            </w:r>
            <w:r w:rsidRPr="002978F3">
              <w:rPr>
                <w:rFonts w:ascii="Georgia" w:eastAsia="Times New Roman" w:hAnsi="Georgia" w:cs="Calibri"/>
                <w:color w:val="000000"/>
                <w:sz w:val="19"/>
                <w:szCs w:val="19"/>
                <w:lang w:eastAsia="en-GB"/>
              </w:rPr>
              <w:t>%</w:t>
            </w:r>
          </w:p>
        </w:tc>
        <w:tc>
          <w:tcPr>
            <w:tcW w:w="218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w:t>
            </w:r>
            <w:r w:rsidR="00DD6867">
              <w:rPr>
                <w:rFonts w:ascii="Georgia" w:eastAsia="Times New Roman" w:hAnsi="Georgia" w:cs="Calibri"/>
                <w:color w:val="000000"/>
                <w:sz w:val="19"/>
                <w:szCs w:val="19"/>
                <w:lang w:eastAsia="en-GB"/>
              </w:rPr>
              <w:t>7</w:t>
            </w:r>
            <w:r w:rsidRPr="002978F3">
              <w:rPr>
                <w:rFonts w:ascii="Georgia" w:eastAsia="Times New Roman" w:hAnsi="Georgia" w:cs="Calibri"/>
                <w:color w:val="000000"/>
                <w:sz w:val="19"/>
                <w:szCs w:val="19"/>
                <w:lang w:eastAsia="en-GB"/>
              </w:rPr>
              <w:t>,</w:t>
            </w:r>
            <w:r w:rsidR="00DD6867">
              <w:rPr>
                <w:rFonts w:ascii="Georgia" w:eastAsia="Times New Roman" w:hAnsi="Georgia" w:cs="Calibri"/>
                <w:color w:val="000000"/>
                <w:sz w:val="19"/>
                <w:szCs w:val="19"/>
                <w:lang w:eastAsia="en-GB"/>
              </w:rPr>
              <w:t>043</w:t>
            </w:r>
            <w:r w:rsidRPr="002978F3">
              <w:rPr>
                <w:rFonts w:ascii="Georgia" w:eastAsia="Times New Roman" w:hAnsi="Georgia" w:cs="Calibri"/>
                <w:color w:val="000000"/>
                <w:sz w:val="19"/>
                <w:szCs w:val="19"/>
                <w:lang w:eastAsia="en-GB"/>
              </w:rPr>
              <w:br/>
              <w:t xml:space="preserve"> -</w:t>
            </w:r>
            <w:r w:rsidR="00964A7B">
              <w:rPr>
                <w:rFonts w:ascii="Georgia" w:eastAsia="Times New Roman" w:hAnsi="Georgia" w:cs="Calibri"/>
                <w:color w:val="000000"/>
                <w:sz w:val="19"/>
                <w:szCs w:val="19"/>
                <w:lang w:eastAsia="en-GB"/>
              </w:rPr>
              <w:t>6.8</w:t>
            </w:r>
            <w:r w:rsidRPr="002978F3">
              <w:rPr>
                <w:rFonts w:ascii="Georgia" w:eastAsia="Times New Roman" w:hAnsi="Georgia" w:cs="Calibri"/>
                <w:color w:val="000000"/>
                <w:sz w:val="19"/>
                <w:szCs w:val="19"/>
                <w:lang w:eastAsia="en-GB"/>
              </w:rPr>
              <w:t>%</w:t>
            </w:r>
          </w:p>
        </w:tc>
      </w:tr>
      <w:tr w:rsidR="002978F3" w:rsidRPr="002978F3" w:rsidTr="002978F3">
        <w:trPr>
          <w:trHeight w:val="510"/>
        </w:trPr>
        <w:tc>
          <w:tcPr>
            <w:tcW w:w="2143" w:type="dxa"/>
            <w:tcBorders>
              <w:top w:val="nil"/>
              <w:left w:val="single" w:sz="4" w:space="0" w:color="5B9BD5"/>
              <w:bottom w:val="single" w:sz="4" w:space="0" w:color="5B9BD5"/>
              <w:right w:val="single" w:sz="4" w:space="0" w:color="5B9BD5"/>
            </w:tcBorders>
            <w:shd w:val="clear" w:color="auto" w:fill="auto"/>
            <w:noWrap/>
            <w:hideMark/>
          </w:tcPr>
          <w:p w:rsidR="002978F3" w:rsidRPr="002978F3" w:rsidRDefault="002978F3" w:rsidP="002978F3">
            <w:pPr>
              <w:spacing w:after="0"/>
              <w:rPr>
                <w:rFonts w:ascii="Georgia" w:eastAsia="Times New Roman" w:hAnsi="Georgia" w:cs="Calibri"/>
                <w:b/>
                <w:bCs/>
                <w:color w:val="000000"/>
                <w:sz w:val="18"/>
                <w:szCs w:val="18"/>
                <w:lang w:eastAsia="en-GB"/>
              </w:rPr>
            </w:pPr>
            <w:r w:rsidRPr="002978F3">
              <w:rPr>
                <w:rFonts w:ascii="Georgia" w:eastAsia="Times New Roman" w:hAnsi="Georgia" w:cs="Calibri"/>
                <w:b/>
                <w:bCs/>
                <w:color w:val="000000"/>
                <w:sz w:val="18"/>
                <w:szCs w:val="18"/>
                <w:lang w:eastAsia="en-GB"/>
              </w:rPr>
              <w:t>Unfavourable scenario</w:t>
            </w:r>
          </w:p>
        </w:tc>
        <w:tc>
          <w:tcPr>
            <w:tcW w:w="3597" w:type="dxa"/>
            <w:tcBorders>
              <w:top w:val="nil"/>
              <w:left w:val="nil"/>
              <w:bottom w:val="single" w:sz="4" w:space="0" w:color="5B9BD5"/>
              <w:right w:val="single" w:sz="4" w:space="0" w:color="5B9BD5"/>
            </w:tcBorders>
            <w:shd w:val="clear" w:color="auto" w:fill="auto"/>
            <w:hideMark/>
          </w:tcPr>
          <w:p w:rsidR="002978F3" w:rsidRPr="002978F3" w:rsidRDefault="002978F3" w:rsidP="002978F3">
            <w:pPr>
              <w:spacing w:after="0"/>
              <w:rPr>
                <w:rFonts w:ascii="Georgia" w:eastAsia="Times New Roman" w:hAnsi="Georgia" w:cs="Calibri"/>
                <w:color w:val="000000"/>
                <w:sz w:val="18"/>
                <w:szCs w:val="18"/>
                <w:lang w:eastAsia="en-GB"/>
              </w:rPr>
            </w:pPr>
            <w:r w:rsidRPr="002978F3">
              <w:rPr>
                <w:rFonts w:ascii="Georgia" w:eastAsia="Times New Roman" w:hAnsi="Georgia" w:cs="Calibri"/>
                <w:b/>
                <w:bCs/>
                <w:color w:val="000000"/>
                <w:sz w:val="18"/>
                <w:szCs w:val="18"/>
                <w:lang w:eastAsia="en-GB"/>
              </w:rPr>
              <w:t>What you might get back after costs</w:t>
            </w:r>
            <w:r w:rsidRPr="002978F3">
              <w:rPr>
                <w:rFonts w:ascii="Georgia" w:eastAsia="Times New Roman" w:hAnsi="Georgia" w:cs="Calibri"/>
                <w:color w:val="000000"/>
                <w:sz w:val="18"/>
                <w:szCs w:val="18"/>
                <w:lang w:eastAsia="en-GB"/>
              </w:rPr>
              <w:br/>
              <w:t>Average return each year</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£9,</w:t>
            </w:r>
            <w:r w:rsidR="00167F00">
              <w:rPr>
                <w:rFonts w:ascii="Georgia" w:eastAsia="Times New Roman" w:hAnsi="Georgia" w:cs="Calibri"/>
                <w:color w:val="000000"/>
                <w:sz w:val="19"/>
                <w:szCs w:val="19"/>
                <w:lang w:eastAsia="en-GB"/>
              </w:rPr>
              <w:t>620</w:t>
            </w:r>
            <w:r w:rsidRPr="002978F3">
              <w:rPr>
                <w:rFonts w:ascii="Georgia" w:eastAsia="Times New Roman" w:hAnsi="Georgia" w:cs="Calibri"/>
                <w:color w:val="000000"/>
                <w:sz w:val="19"/>
                <w:szCs w:val="19"/>
                <w:lang w:eastAsia="en-GB"/>
              </w:rPr>
              <w:br/>
              <w:t xml:space="preserve"> -</w:t>
            </w:r>
            <w:r w:rsidR="00167F00">
              <w:rPr>
                <w:rFonts w:ascii="Georgia" w:eastAsia="Times New Roman" w:hAnsi="Georgia" w:cs="Calibri"/>
                <w:color w:val="000000"/>
                <w:sz w:val="19"/>
                <w:szCs w:val="19"/>
                <w:lang w:eastAsia="en-GB"/>
              </w:rPr>
              <w:t>3.8</w:t>
            </w:r>
            <w:r w:rsidRPr="002978F3">
              <w:rPr>
                <w:rFonts w:ascii="Georgia" w:eastAsia="Times New Roman" w:hAnsi="Georgia" w:cs="Calibri"/>
                <w:color w:val="000000"/>
                <w:sz w:val="19"/>
                <w:szCs w:val="19"/>
                <w:lang w:eastAsia="en-GB"/>
              </w:rPr>
              <w:t>%</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w:t>
            </w:r>
            <w:r w:rsidR="00DD6867">
              <w:rPr>
                <w:rFonts w:ascii="Georgia" w:eastAsia="Times New Roman" w:hAnsi="Georgia" w:cs="Calibri"/>
                <w:color w:val="000000"/>
                <w:sz w:val="19"/>
                <w:szCs w:val="19"/>
                <w:lang w:eastAsia="en-GB"/>
              </w:rPr>
              <w:t>10</w:t>
            </w:r>
            <w:r w:rsidRPr="002978F3">
              <w:rPr>
                <w:rFonts w:ascii="Georgia" w:eastAsia="Times New Roman" w:hAnsi="Georgia" w:cs="Calibri"/>
                <w:color w:val="000000"/>
                <w:sz w:val="19"/>
                <w:szCs w:val="19"/>
                <w:lang w:eastAsia="en-GB"/>
              </w:rPr>
              <w:t>,</w:t>
            </w:r>
            <w:r w:rsidR="00DD6867">
              <w:rPr>
                <w:rFonts w:ascii="Georgia" w:eastAsia="Times New Roman" w:hAnsi="Georgia" w:cs="Calibri"/>
                <w:color w:val="000000"/>
                <w:sz w:val="19"/>
                <w:szCs w:val="19"/>
                <w:lang w:eastAsia="en-GB"/>
              </w:rPr>
              <w:t>009</w:t>
            </w:r>
            <w:r w:rsidRPr="002978F3">
              <w:rPr>
                <w:rFonts w:ascii="Georgia" w:eastAsia="Times New Roman" w:hAnsi="Georgia" w:cs="Calibri"/>
                <w:color w:val="000000"/>
                <w:sz w:val="19"/>
                <w:szCs w:val="19"/>
                <w:lang w:eastAsia="en-GB"/>
              </w:rPr>
              <w:br/>
              <w:t xml:space="preserve"> 0.</w:t>
            </w:r>
            <w:r w:rsidR="00167F00">
              <w:rPr>
                <w:rFonts w:ascii="Georgia" w:eastAsia="Times New Roman" w:hAnsi="Georgia" w:cs="Calibri"/>
                <w:color w:val="000000"/>
                <w:sz w:val="19"/>
                <w:szCs w:val="19"/>
                <w:lang w:eastAsia="en-GB"/>
              </w:rPr>
              <w:t>0</w:t>
            </w:r>
            <w:r w:rsidRPr="002978F3">
              <w:rPr>
                <w:rFonts w:ascii="Georgia" w:eastAsia="Times New Roman" w:hAnsi="Georgia" w:cs="Calibri"/>
                <w:color w:val="000000"/>
                <w:sz w:val="19"/>
                <w:szCs w:val="19"/>
                <w:lang w:eastAsia="en-GB"/>
              </w:rPr>
              <w:t>%</w:t>
            </w:r>
          </w:p>
        </w:tc>
        <w:tc>
          <w:tcPr>
            <w:tcW w:w="218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£10,</w:t>
            </w:r>
            <w:r w:rsidR="00DD6867">
              <w:rPr>
                <w:rFonts w:ascii="Georgia" w:eastAsia="Times New Roman" w:hAnsi="Georgia" w:cs="Calibri"/>
                <w:color w:val="000000"/>
                <w:sz w:val="19"/>
                <w:szCs w:val="19"/>
                <w:lang w:eastAsia="en-GB"/>
              </w:rPr>
              <w:t>641</w:t>
            </w:r>
            <w:r w:rsidRPr="002978F3">
              <w:rPr>
                <w:rFonts w:ascii="Georgia" w:eastAsia="Times New Roman" w:hAnsi="Georgia" w:cs="Calibri"/>
                <w:color w:val="000000"/>
                <w:sz w:val="19"/>
                <w:szCs w:val="19"/>
                <w:lang w:eastAsia="en-GB"/>
              </w:rPr>
              <w:br/>
              <w:t xml:space="preserve"> </w:t>
            </w:r>
            <w:r w:rsidR="00167F00">
              <w:rPr>
                <w:rFonts w:ascii="Georgia" w:eastAsia="Times New Roman" w:hAnsi="Georgia" w:cs="Calibri"/>
                <w:color w:val="000000"/>
                <w:sz w:val="19"/>
                <w:szCs w:val="19"/>
                <w:lang w:eastAsia="en-GB"/>
              </w:rPr>
              <w:t>1.25</w:t>
            </w:r>
            <w:r w:rsidRPr="002978F3">
              <w:rPr>
                <w:rFonts w:ascii="Georgia" w:eastAsia="Times New Roman" w:hAnsi="Georgia" w:cs="Calibri"/>
                <w:color w:val="000000"/>
                <w:sz w:val="19"/>
                <w:szCs w:val="19"/>
                <w:lang w:eastAsia="en-GB"/>
              </w:rPr>
              <w:t>%</w:t>
            </w:r>
          </w:p>
        </w:tc>
      </w:tr>
      <w:tr w:rsidR="002978F3" w:rsidRPr="002978F3" w:rsidTr="002978F3">
        <w:trPr>
          <w:trHeight w:val="510"/>
        </w:trPr>
        <w:tc>
          <w:tcPr>
            <w:tcW w:w="2143" w:type="dxa"/>
            <w:tcBorders>
              <w:top w:val="nil"/>
              <w:left w:val="single" w:sz="4" w:space="0" w:color="5B9BD5"/>
              <w:bottom w:val="single" w:sz="4" w:space="0" w:color="5B9BD5"/>
              <w:right w:val="single" w:sz="4" w:space="0" w:color="5B9BD5"/>
            </w:tcBorders>
            <w:shd w:val="clear" w:color="auto" w:fill="auto"/>
            <w:noWrap/>
            <w:hideMark/>
          </w:tcPr>
          <w:p w:rsidR="002978F3" w:rsidRPr="002978F3" w:rsidRDefault="002978F3" w:rsidP="002978F3">
            <w:pPr>
              <w:spacing w:after="0"/>
              <w:rPr>
                <w:rFonts w:ascii="Georgia" w:eastAsia="Times New Roman" w:hAnsi="Georgia" w:cs="Calibri"/>
                <w:b/>
                <w:bCs/>
                <w:color w:val="000000"/>
                <w:sz w:val="18"/>
                <w:szCs w:val="18"/>
                <w:lang w:eastAsia="en-GB"/>
              </w:rPr>
            </w:pPr>
            <w:r w:rsidRPr="002978F3">
              <w:rPr>
                <w:rFonts w:ascii="Georgia" w:eastAsia="Times New Roman" w:hAnsi="Georgia" w:cs="Calibri"/>
                <w:b/>
                <w:bCs/>
                <w:color w:val="000000"/>
                <w:sz w:val="18"/>
                <w:szCs w:val="18"/>
                <w:lang w:eastAsia="en-GB"/>
              </w:rPr>
              <w:t>Moderate scenario</w:t>
            </w:r>
          </w:p>
        </w:tc>
        <w:tc>
          <w:tcPr>
            <w:tcW w:w="3597" w:type="dxa"/>
            <w:tcBorders>
              <w:top w:val="nil"/>
              <w:left w:val="nil"/>
              <w:bottom w:val="single" w:sz="4" w:space="0" w:color="5B9BD5"/>
              <w:right w:val="single" w:sz="4" w:space="0" w:color="5B9BD5"/>
            </w:tcBorders>
            <w:shd w:val="clear" w:color="auto" w:fill="auto"/>
            <w:hideMark/>
          </w:tcPr>
          <w:p w:rsidR="002978F3" w:rsidRPr="002978F3" w:rsidRDefault="002978F3" w:rsidP="002978F3">
            <w:pPr>
              <w:spacing w:after="0"/>
              <w:rPr>
                <w:rFonts w:ascii="Georgia" w:eastAsia="Times New Roman" w:hAnsi="Georgia" w:cs="Calibri"/>
                <w:color w:val="000000"/>
                <w:sz w:val="18"/>
                <w:szCs w:val="18"/>
                <w:lang w:eastAsia="en-GB"/>
              </w:rPr>
            </w:pPr>
            <w:r w:rsidRPr="002978F3">
              <w:rPr>
                <w:rFonts w:ascii="Georgia" w:eastAsia="Times New Roman" w:hAnsi="Georgia" w:cs="Calibri"/>
                <w:b/>
                <w:bCs/>
                <w:color w:val="000000"/>
                <w:sz w:val="18"/>
                <w:szCs w:val="18"/>
                <w:lang w:eastAsia="en-GB"/>
              </w:rPr>
              <w:t>What you might get back after costs</w:t>
            </w:r>
            <w:r w:rsidRPr="002978F3">
              <w:rPr>
                <w:rFonts w:ascii="Georgia" w:eastAsia="Times New Roman" w:hAnsi="Georgia" w:cs="Calibri"/>
                <w:color w:val="000000"/>
                <w:sz w:val="18"/>
                <w:szCs w:val="18"/>
                <w:lang w:eastAsia="en-GB"/>
              </w:rPr>
              <w:br/>
              <w:t>Average return each year</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£10,</w:t>
            </w:r>
            <w:r w:rsidR="00DD6867">
              <w:rPr>
                <w:rFonts w:ascii="Georgia" w:eastAsia="Times New Roman" w:hAnsi="Georgia" w:cs="Calibri"/>
                <w:color w:val="000000"/>
                <w:sz w:val="19"/>
                <w:szCs w:val="19"/>
                <w:lang w:eastAsia="en-GB"/>
              </w:rPr>
              <w:t>557</w:t>
            </w:r>
            <w:r w:rsidRPr="002978F3">
              <w:rPr>
                <w:rFonts w:ascii="Georgia" w:eastAsia="Times New Roman" w:hAnsi="Georgia" w:cs="Calibri"/>
                <w:color w:val="000000"/>
                <w:sz w:val="19"/>
                <w:szCs w:val="19"/>
                <w:lang w:eastAsia="en-GB"/>
              </w:rPr>
              <w:br/>
              <w:t xml:space="preserve"> 5.</w:t>
            </w:r>
            <w:r w:rsidR="00167F00">
              <w:rPr>
                <w:rFonts w:ascii="Georgia" w:eastAsia="Times New Roman" w:hAnsi="Georgia" w:cs="Calibri"/>
                <w:color w:val="000000"/>
                <w:sz w:val="19"/>
                <w:szCs w:val="19"/>
                <w:lang w:eastAsia="en-GB"/>
              </w:rPr>
              <w:t>6</w:t>
            </w:r>
            <w:r w:rsidRPr="002978F3">
              <w:rPr>
                <w:rFonts w:ascii="Georgia" w:eastAsia="Times New Roman" w:hAnsi="Georgia" w:cs="Calibri"/>
                <w:color w:val="000000"/>
                <w:sz w:val="19"/>
                <w:szCs w:val="19"/>
                <w:lang w:eastAsia="en-GB"/>
              </w:rPr>
              <w:t>%</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£11,</w:t>
            </w:r>
            <w:r w:rsidR="00DD6867">
              <w:rPr>
                <w:rFonts w:ascii="Georgia" w:eastAsia="Times New Roman" w:hAnsi="Georgia" w:cs="Calibri"/>
                <w:color w:val="000000"/>
                <w:sz w:val="19"/>
                <w:szCs w:val="19"/>
                <w:lang w:eastAsia="en-GB"/>
              </w:rPr>
              <w:t>762</w:t>
            </w:r>
            <w:r w:rsidRPr="002978F3">
              <w:rPr>
                <w:rFonts w:ascii="Georgia" w:eastAsia="Times New Roman" w:hAnsi="Georgia" w:cs="Calibri"/>
                <w:color w:val="000000"/>
                <w:sz w:val="19"/>
                <w:szCs w:val="19"/>
                <w:lang w:eastAsia="en-GB"/>
              </w:rPr>
              <w:br/>
              <w:t xml:space="preserve"> 5.</w:t>
            </w:r>
            <w:r w:rsidR="00167F00">
              <w:rPr>
                <w:rFonts w:ascii="Georgia" w:eastAsia="Times New Roman" w:hAnsi="Georgia" w:cs="Calibri"/>
                <w:color w:val="000000"/>
                <w:sz w:val="19"/>
                <w:szCs w:val="19"/>
                <w:lang w:eastAsia="en-GB"/>
              </w:rPr>
              <w:t>6</w:t>
            </w:r>
            <w:r w:rsidRPr="002978F3">
              <w:rPr>
                <w:rFonts w:ascii="Georgia" w:eastAsia="Times New Roman" w:hAnsi="Georgia" w:cs="Calibri"/>
                <w:color w:val="000000"/>
                <w:sz w:val="19"/>
                <w:szCs w:val="19"/>
                <w:lang w:eastAsia="en-GB"/>
              </w:rPr>
              <w:t>%</w:t>
            </w:r>
          </w:p>
        </w:tc>
        <w:tc>
          <w:tcPr>
            <w:tcW w:w="218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w:t>
            </w:r>
            <w:r w:rsidR="00DD6867">
              <w:rPr>
                <w:rFonts w:ascii="Georgia" w:eastAsia="Times New Roman" w:hAnsi="Georgia" w:cs="Calibri"/>
                <w:color w:val="000000"/>
                <w:sz w:val="19"/>
                <w:szCs w:val="19"/>
                <w:lang w:eastAsia="en-GB"/>
              </w:rPr>
              <w:t>3</w:t>
            </w:r>
            <w:r w:rsidRPr="002978F3">
              <w:rPr>
                <w:rFonts w:ascii="Georgia" w:eastAsia="Times New Roman" w:hAnsi="Georgia" w:cs="Calibri"/>
                <w:color w:val="000000"/>
                <w:sz w:val="19"/>
                <w:szCs w:val="19"/>
                <w:lang w:eastAsia="en-GB"/>
              </w:rPr>
              <w:t>,</w:t>
            </w:r>
            <w:r w:rsidR="00DD6867">
              <w:rPr>
                <w:rFonts w:ascii="Georgia" w:eastAsia="Times New Roman" w:hAnsi="Georgia" w:cs="Calibri"/>
                <w:color w:val="000000"/>
                <w:sz w:val="19"/>
                <w:szCs w:val="19"/>
                <w:lang w:eastAsia="en-GB"/>
              </w:rPr>
              <w:t>113</w:t>
            </w:r>
            <w:r w:rsidRPr="002978F3">
              <w:rPr>
                <w:rFonts w:ascii="Georgia" w:eastAsia="Times New Roman" w:hAnsi="Georgia" w:cs="Calibri"/>
                <w:color w:val="000000"/>
                <w:sz w:val="19"/>
                <w:szCs w:val="19"/>
                <w:lang w:eastAsia="en-GB"/>
              </w:rPr>
              <w:br/>
              <w:t xml:space="preserve"> 5.</w:t>
            </w:r>
            <w:r w:rsidR="00167F00">
              <w:rPr>
                <w:rFonts w:ascii="Georgia" w:eastAsia="Times New Roman" w:hAnsi="Georgia" w:cs="Calibri"/>
                <w:color w:val="000000"/>
                <w:sz w:val="19"/>
                <w:szCs w:val="19"/>
                <w:lang w:eastAsia="en-GB"/>
              </w:rPr>
              <w:t>6</w:t>
            </w:r>
            <w:r w:rsidRPr="002978F3">
              <w:rPr>
                <w:rFonts w:ascii="Georgia" w:eastAsia="Times New Roman" w:hAnsi="Georgia" w:cs="Calibri"/>
                <w:color w:val="000000"/>
                <w:sz w:val="19"/>
                <w:szCs w:val="19"/>
                <w:lang w:eastAsia="en-GB"/>
              </w:rPr>
              <w:t>%</w:t>
            </w:r>
          </w:p>
        </w:tc>
      </w:tr>
      <w:tr w:rsidR="002978F3" w:rsidRPr="002978F3" w:rsidTr="002978F3">
        <w:trPr>
          <w:trHeight w:val="510"/>
        </w:trPr>
        <w:tc>
          <w:tcPr>
            <w:tcW w:w="2143" w:type="dxa"/>
            <w:tcBorders>
              <w:top w:val="nil"/>
              <w:left w:val="single" w:sz="4" w:space="0" w:color="5B9BD5"/>
              <w:bottom w:val="single" w:sz="4" w:space="0" w:color="5B9BD5"/>
              <w:right w:val="single" w:sz="4" w:space="0" w:color="5B9BD5"/>
            </w:tcBorders>
            <w:shd w:val="clear" w:color="auto" w:fill="auto"/>
            <w:noWrap/>
            <w:hideMark/>
          </w:tcPr>
          <w:p w:rsidR="002978F3" w:rsidRPr="002978F3" w:rsidRDefault="002978F3" w:rsidP="002978F3">
            <w:pPr>
              <w:spacing w:after="0"/>
              <w:rPr>
                <w:rFonts w:ascii="Georgia" w:eastAsia="Times New Roman" w:hAnsi="Georgia" w:cs="Calibri"/>
                <w:b/>
                <w:bCs/>
                <w:color w:val="000000"/>
                <w:sz w:val="18"/>
                <w:szCs w:val="18"/>
                <w:lang w:eastAsia="en-GB"/>
              </w:rPr>
            </w:pPr>
            <w:r w:rsidRPr="002978F3">
              <w:rPr>
                <w:rFonts w:ascii="Georgia" w:eastAsia="Times New Roman" w:hAnsi="Georgia" w:cs="Calibri"/>
                <w:b/>
                <w:bCs/>
                <w:color w:val="000000"/>
                <w:sz w:val="18"/>
                <w:szCs w:val="18"/>
                <w:lang w:eastAsia="en-GB"/>
              </w:rPr>
              <w:t>Favourable scenario</w:t>
            </w:r>
          </w:p>
        </w:tc>
        <w:tc>
          <w:tcPr>
            <w:tcW w:w="3597" w:type="dxa"/>
            <w:tcBorders>
              <w:top w:val="nil"/>
              <w:left w:val="nil"/>
              <w:bottom w:val="single" w:sz="4" w:space="0" w:color="5B9BD5"/>
              <w:right w:val="single" w:sz="4" w:space="0" w:color="5B9BD5"/>
            </w:tcBorders>
            <w:shd w:val="clear" w:color="auto" w:fill="auto"/>
            <w:hideMark/>
          </w:tcPr>
          <w:p w:rsidR="002978F3" w:rsidRPr="002978F3" w:rsidRDefault="002978F3" w:rsidP="002978F3">
            <w:pPr>
              <w:spacing w:after="0"/>
              <w:rPr>
                <w:rFonts w:ascii="Georgia" w:eastAsia="Times New Roman" w:hAnsi="Georgia" w:cs="Calibri"/>
                <w:color w:val="000000"/>
                <w:sz w:val="18"/>
                <w:szCs w:val="18"/>
                <w:lang w:eastAsia="en-GB"/>
              </w:rPr>
            </w:pPr>
            <w:r w:rsidRPr="002978F3">
              <w:rPr>
                <w:rFonts w:ascii="Georgia" w:eastAsia="Times New Roman" w:hAnsi="Georgia" w:cs="Calibri"/>
                <w:b/>
                <w:bCs/>
                <w:color w:val="000000"/>
                <w:sz w:val="18"/>
                <w:szCs w:val="18"/>
                <w:lang w:eastAsia="en-GB"/>
              </w:rPr>
              <w:t>What you might get back after costs</w:t>
            </w:r>
            <w:r w:rsidRPr="002978F3">
              <w:rPr>
                <w:rFonts w:ascii="Georgia" w:eastAsia="Times New Roman" w:hAnsi="Georgia" w:cs="Calibri"/>
                <w:color w:val="000000"/>
                <w:sz w:val="18"/>
                <w:szCs w:val="18"/>
                <w:lang w:eastAsia="en-GB"/>
              </w:rPr>
              <w:br/>
              <w:t>Average return each year</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w:t>
            </w:r>
            <w:r w:rsidR="00DD6867">
              <w:rPr>
                <w:rFonts w:ascii="Georgia" w:eastAsia="Times New Roman" w:hAnsi="Georgia" w:cs="Calibri"/>
                <w:color w:val="000000"/>
                <w:sz w:val="19"/>
                <w:szCs w:val="19"/>
                <w:lang w:eastAsia="en-GB"/>
              </w:rPr>
              <w:t>3</w:t>
            </w:r>
            <w:r w:rsidRPr="002978F3">
              <w:rPr>
                <w:rFonts w:ascii="Georgia" w:eastAsia="Times New Roman" w:hAnsi="Georgia" w:cs="Calibri"/>
                <w:color w:val="000000"/>
                <w:sz w:val="19"/>
                <w:szCs w:val="19"/>
                <w:lang w:eastAsia="en-GB"/>
              </w:rPr>
              <w:t>,583</w:t>
            </w:r>
            <w:r w:rsidRPr="002978F3">
              <w:rPr>
                <w:rFonts w:ascii="Georgia" w:eastAsia="Times New Roman" w:hAnsi="Georgia" w:cs="Calibri"/>
                <w:color w:val="000000"/>
                <w:sz w:val="19"/>
                <w:szCs w:val="19"/>
                <w:lang w:eastAsia="en-GB"/>
              </w:rPr>
              <w:br/>
              <w:t xml:space="preserve"> 15.8%</w:t>
            </w:r>
          </w:p>
        </w:tc>
        <w:tc>
          <w:tcPr>
            <w:tcW w:w="1540" w:type="dxa"/>
            <w:tcBorders>
              <w:top w:val="nil"/>
              <w:left w:val="nil"/>
              <w:bottom w:val="single" w:sz="4" w:space="0" w:color="5B9BD5"/>
              <w:right w:val="single" w:sz="4" w:space="0" w:color="5B9BD5"/>
            </w:tcBorders>
            <w:shd w:val="clear" w:color="auto" w:fill="auto"/>
            <w:vAlign w:val="center"/>
            <w:hideMark/>
          </w:tcPr>
          <w:p w:rsidR="00DD6867"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£13,</w:t>
            </w:r>
            <w:r w:rsidR="00DD6867">
              <w:rPr>
                <w:rFonts w:ascii="Georgia" w:eastAsia="Times New Roman" w:hAnsi="Georgia" w:cs="Calibri"/>
                <w:color w:val="000000"/>
                <w:sz w:val="19"/>
                <w:szCs w:val="19"/>
                <w:lang w:eastAsia="en-GB"/>
              </w:rPr>
              <w:t>825</w:t>
            </w:r>
          </w:p>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 xml:space="preserve"> 11.</w:t>
            </w:r>
            <w:r w:rsidR="00167F00">
              <w:rPr>
                <w:rFonts w:ascii="Georgia" w:eastAsia="Times New Roman" w:hAnsi="Georgia" w:cs="Calibri"/>
                <w:color w:val="000000"/>
                <w:sz w:val="19"/>
                <w:szCs w:val="19"/>
                <w:lang w:eastAsia="en-GB"/>
              </w:rPr>
              <w:t>4</w:t>
            </w:r>
            <w:r w:rsidRPr="002978F3">
              <w:rPr>
                <w:rFonts w:ascii="Georgia" w:eastAsia="Times New Roman" w:hAnsi="Georgia" w:cs="Calibri"/>
                <w:color w:val="000000"/>
                <w:sz w:val="19"/>
                <w:szCs w:val="19"/>
                <w:lang w:eastAsia="en-GB"/>
              </w:rPr>
              <w:t>%</w:t>
            </w:r>
          </w:p>
        </w:tc>
        <w:tc>
          <w:tcPr>
            <w:tcW w:w="218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w:t>
            </w:r>
            <w:r w:rsidR="00DD6867">
              <w:rPr>
                <w:rFonts w:ascii="Georgia" w:eastAsia="Times New Roman" w:hAnsi="Georgia" w:cs="Calibri"/>
                <w:color w:val="000000"/>
                <w:sz w:val="19"/>
                <w:szCs w:val="19"/>
                <w:lang w:eastAsia="en-GB"/>
              </w:rPr>
              <w:t>6</w:t>
            </w:r>
            <w:r w:rsidRPr="002978F3">
              <w:rPr>
                <w:rFonts w:ascii="Georgia" w:eastAsia="Times New Roman" w:hAnsi="Georgia" w:cs="Calibri"/>
                <w:color w:val="000000"/>
                <w:sz w:val="19"/>
                <w:szCs w:val="19"/>
                <w:lang w:eastAsia="en-GB"/>
              </w:rPr>
              <w:t>,</w:t>
            </w:r>
            <w:r w:rsidR="00DD6867">
              <w:rPr>
                <w:rFonts w:ascii="Georgia" w:eastAsia="Times New Roman" w:hAnsi="Georgia" w:cs="Calibri"/>
                <w:color w:val="000000"/>
                <w:sz w:val="19"/>
                <w:szCs w:val="19"/>
                <w:lang w:eastAsia="en-GB"/>
              </w:rPr>
              <w:t>149</w:t>
            </w:r>
            <w:r w:rsidRPr="002978F3">
              <w:rPr>
                <w:rFonts w:ascii="Georgia" w:eastAsia="Times New Roman" w:hAnsi="Georgia" w:cs="Calibri"/>
                <w:color w:val="000000"/>
                <w:sz w:val="19"/>
                <w:szCs w:val="19"/>
                <w:lang w:eastAsia="en-GB"/>
              </w:rPr>
              <w:br/>
              <w:t xml:space="preserve"> </w:t>
            </w:r>
            <w:r w:rsidR="00167F00">
              <w:rPr>
                <w:rFonts w:ascii="Georgia" w:eastAsia="Times New Roman" w:hAnsi="Georgia" w:cs="Calibri"/>
                <w:color w:val="000000"/>
                <w:sz w:val="19"/>
                <w:szCs w:val="19"/>
                <w:lang w:eastAsia="en-GB"/>
              </w:rPr>
              <w:t>10.1</w:t>
            </w:r>
            <w:r w:rsidRPr="002978F3">
              <w:rPr>
                <w:rFonts w:ascii="Georgia" w:eastAsia="Times New Roman" w:hAnsi="Georgia" w:cs="Calibri"/>
                <w:color w:val="000000"/>
                <w:sz w:val="19"/>
                <w:szCs w:val="19"/>
                <w:lang w:eastAsia="en-GB"/>
              </w:rPr>
              <w:t>%</w:t>
            </w:r>
          </w:p>
        </w:tc>
      </w:tr>
    </w:tbl>
    <w:p w:rsidR="00992DCD" w:rsidRPr="00A2572C" w:rsidRDefault="00992DCD" w:rsidP="00256DDB">
      <w:pPr>
        <w:spacing w:after="40"/>
        <w:rPr>
          <w:b/>
          <w:sz w:val="20"/>
          <w:szCs w:val="20"/>
        </w:rPr>
      </w:pPr>
    </w:p>
    <w:p w:rsidR="00256DDB" w:rsidRDefault="00256DDB" w:rsidP="00256DDB">
      <w:pPr>
        <w:spacing w:after="40"/>
        <w:rPr>
          <w:sz w:val="19"/>
          <w:szCs w:val="19"/>
        </w:rPr>
      </w:pPr>
      <w:r>
        <w:rPr>
          <w:sz w:val="19"/>
          <w:szCs w:val="19"/>
        </w:rPr>
        <w:t>This table shows the money you could get back over the next five years under different scenarios, assuming that you invest £10,000. The scenarios shown illustrate how your investment could perform. You can compare them with the scenarios of other products. The scenarios presented are an estimate of future performance based on evidence from the past on how the value of this investment varies, and are not an exact indicator. What you will get will vary depending on how the market</w:t>
      </w:r>
      <w:r>
        <w:rPr>
          <w:color w:val="FF0000"/>
          <w:sz w:val="19"/>
          <w:szCs w:val="19"/>
        </w:rPr>
        <w:t xml:space="preserve"> </w:t>
      </w:r>
      <w:r>
        <w:rPr>
          <w:sz w:val="19"/>
          <w:szCs w:val="19"/>
        </w:rPr>
        <w:t>performs and how long you keep the investment/product.</w:t>
      </w:r>
    </w:p>
    <w:p w:rsidR="00256DDB" w:rsidRDefault="00256DDB" w:rsidP="00256DDB">
      <w:pPr>
        <w:spacing w:after="40"/>
        <w:rPr>
          <w:sz w:val="19"/>
          <w:szCs w:val="19"/>
        </w:rPr>
      </w:pPr>
      <w:r>
        <w:rPr>
          <w:sz w:val="19"/>
          <w:szCs w:val="19"/>
        </w:rPr>
        <w:t>The stress scenario shows what you might get back in extreme market circumstances and it does not take into account the situation where JZCP are not able to pay you.</w:t>
      </w:r>
    </w:p>
    <w:p w:rsidR="00256DDB" w:rsidRDefault="00256DDB" w:rsidP="00256DDB">
      <w:pPr>
        <w:spacing w:after="40"/>
        <w:rPr>
          <w:sz w:val="19"/>
          <w:szCs w:val="19"/>
        </w:rPr>
      </w:pPr>
      <w:r>
        <w:rPr>
          <w:sz w:val="19"/>
          <w:szCs w:val="19"/>
        </w:rPr>
        <w:t>The figures shown include all the costs of the product itself, but may not include all the costs that you pay to your advisor or distributor. The figures do not take into account your personal tax situation, which may also affect how much you get back.</w:t>
      </w:r>
    </w:p>
    <w:p w:rsidR="00DC1205" w:rsidRDefault="00DC1205" w:rsidP="00DC1205"/>
    <w:p w:rsidR="00DC1205" w:rsidRDefault="00DC1205" w:rsidP="00DC1205">
      <w:pPr>
        <w:rPr>
          <w:rFonts w:asciiTheme="majorHAnsi" w:eastAsiaTheme="majorEastAsia" w:hAnsiTheme="majorHAnsi" w:cstheme="majorBidi"/>
          <w:b/>
          <w:color w:val="2E74B5" w:themeColor="accent1" w:themeShade="BF"/>
          <w:sz w:val="22"/>
          <w:szCs w:val="26"/>
        </w:rPr>
      </w:pPr>
      <w:r w:rsidRPr="00DC1205">
        <w:rPr>
          <w:rFonts w:asciiTheme="majorHAnsi" w:eastAsiaTheme="majorEastAsia" w:hAnsiTheme="majorHAnsi" w:cstheme="majorBidi"/>
          <w:b/>
          <w:color w:val="2E74B5" w:themeColor="accent1" w:themeShade="BF"/>
          <w:sz w:val="22"/>
          <w:szCs w:val="26"/>
        </w:rPr>
        <w:t>What happens if JZCP is unable to pay out?</w:t>
      </w:r>
    </w:p>
    <w:p w:rsidR="00F91E7C" w:rsidRPr="008F792E" w:rsidRDefault="00F91E7C" w:rsidP="00F91E7C">
      <w:pPr>
        <w:spacing w:after="40"/>
        <w:rPr>
          <w:sz w:val="19"/>
          <w:szCs w:val="19"/>
        </w:rPr>
      </w:pPr>
      <w:bookmarkStart w:id="2" w:name="_Hlk501372122"/>
      <w:r w:rsidRPr="008F792E">
        <w:rPr>
          <w:sz w:val="19"/>
          <w:szCs w:val="19"/>
        </w:rPr>
        <w:t>JZCP will have no direct payment obligations to you, as a shareholder, other than to the extent any dividends or other returns are declared. However, if JZCP were to enter into default or bankruptcy it is likely that the market value of the product w</w:t>
      </w:r>
      <w:r>
        <w:rPr>
          <w:sz w:val="19"/>
          <w:szCs w:val="19"/>
        </w:rPr>
        <w:t>ould</w:t>
      </w:r>
      <w:r w:rsidRPr="008F792E">
        <w:rPr>
          <w:sz w:val="19"/>
          <w:szCs w:val="19"/>
        </w:rPr>
        <w:t xml:space="preserve"> decline substantially and it may become worthless.</w:t>
      </w:r>
    </w:p>
    <w:p w:rsidR="00F91E7C" w:rsidRPr="008F792E" w:rsidRDefault="00F91E7C" w:rsidP="00F91E7C">
      <w:pPr>
        <w:spacing w:after="40"/>
        <w:rPr>
          <w:sz w:val="19"/>
          <w:szCs w:val="19"/>
        </w:rPr>
      </w:pPr>
      <w:r w:rsidRPr="008F792E">
        <w:rPr>
          <w:sz w:val="19"/>
          <w:szCs w:val="19"/>
        </w:rPr>
        <w:t>The product is not covered by an investor compensation or guarantee scheme, and you would not be able to make a claim in the event that JZCP were unable to pay any dividends or other returns it may elect to pay from time to time, or if it were unable to pay any amounts due to you on a winding up at the end of its life. If you sell your shares on the London Stock Exchange, your bank or stockbroker will receive cash on delivery of your shares and should pass that to you.</w:t>
      </w:r>
    </w:p>
    <w:bookmarkEnd w:id="2"/>
    <w:p w:rsidR="00DC1205" w:rsidRDefault="00DC1205" w:rsidP="00DC1205"/>
    <w:p w:rsidR="00DC1205" w:rsidRDefault="00DC1205" w:rsidP="00DC1205">
      <w:pPr>
        <w:pStyle w:val="Heading2"/>
        <w:spacing w:after="120"/>
      </w:pPr>
      <w:r>
        <w:t>What are the costs?</w:t>
      </w:r>
    </w:p>
    <w:p w:rsidR="00256DDB" w:rsidRDefault="00256DDB" w:rsidP="00256DDB">
      <w:pPr>
        <w:spacing w:after="40"/>
        <w:rPr>
          <w:sz w:val="19"/>
          <w:szCs w:val="19"/>
        </w:rPr>
      </w:pPr>
      <w:r>
        <w:rPr>
          <w:sz w:val="19"/>
          <w:szCs w:val="19"/>
        </w:rPr>
        <w:t>The Reduction in Yield (RIY) shows what impact the total costs you pay will have on the investment return you might get. The total costs take into account one-off, ongoing and incidental costs.</w:t>
      </w:r>
    </w:p>
    <w:p w:rsidR="00256DDB" w:rsidRDefault="00256DDB" w:rsidP="00256DDB">
      <w:pPr>
        <w:spacing w:after="40"/>
        <w:rPr>
          <w:sz w:val="19"/>
          <w:szCs w:val="19"/>
        </w:rPr>
      </w:pPr>
      <w:r>
        <w:rPr>
          <w:sz w:val="19"/>
          <w:szCs w:val="19"/>
        </w:rPr>
        <w:t>The amounts shown here are the cumulative costs of the product itself, for three different holding periods.  They include potential early exit penalties.  The figures assume you invest £10,000. The figures are estimates and may change in the future.</w:t>
      </w:r>
    </w:p>
    <w:p w:rsidR="00256DDB" w:rsidRDefault="00256DDB" w:rsidP="00256DDB">
      <w:pPr>
        <w:spacing w:after="40"/>
        <w:rPr>
          <w:sz w:val="19"/>
          <w:szCs w:val="19"/>
        </w:rPr>
      </w:pPr>
      <w:r>
        <w:rPr>
          <w:sz w:val="19"/>
          <w:szCs w:val="19"/>
        </w:rPr>
        <w:t xml:space="preserve">The manufacturer is required to include the information above and below without any changes. The law was drafted for investments which pay returns directly to investors, not those for which a return is expected to be delivered by the investor selling shares on a market. The performance scenarios above are shown based on share price returns together with returns for dividends or other distributions. They are entirely independent of the costs shown below, all of which are borne by the product and have no direct impact on investment performance of the product. </w:t>
      </w:r>
    </w:p>
    <w:p w:rsidR="00256DDB" w:rsidRDefault="00256DDB" w:rsidP="00256DDB">
      <w:pPr>
        <w:spacing w:after="40"/>
        <w:rPr>
          <w:sz w:val="19"/>
          <w:szCs w:val="19"/>
        </w:rPr>
      </w:pPr>
      <w:bookmarkStart w:id="3" w:name="_Hlk501385371"/>
      <w:r>
        <w:rPr>
          <w:sz w:val="19"/>
          <w:szCs w:val="19"/>
        </w:rPr>
        <w:t>If you sell your shares, you would pay your bank’s or stockbroker’s dealing charges and be selling at the then available market bid price. That is likely to be lower than the offer price at which others could buy shares at that time. Share prices in the media are typically the mid price, being half way between the bid and the offer price.</w:t>
      </w:r>
      <w:bookmarkEnd w:id="3"/>
    </w:p>
    <w:p w:rsidR="00DF58A4" w:rsidRDefault="00DF58A4" w:rsidP="00256DDB">
      <w:pPr>
        <w:spacing w:after="40"/>
        <w:rPr>
          <w:sz w:val="19"/>
          <w:szCs w:val="19"/>
        </w:rPr>
      </w:pPr>
    </w:p>
    <w:p w:rsidR="000D2199" w:rsidRPr="00A2572C" w:rsidRDefault="000D2199" w:rsidP="000D2199">
      <w:pPr>
        <w:spacing w:after="40"/>
        <w:rPr>
          <w:b/>
          <w:sz w:val="20"/>
          <w:szCs w:val="20"/>
        </w:rPr>
      </w:pPr>
      <w:r>
        <w:rPr>
          <w:b/>
          <w:sz w:val="20"/>
          <w:szCs w:val="20"/>
        </w:rPr>
        <w:t>Costs Over Time</w:t>
      </w:r>
    </w:p>
    <w:p w:rsidR="000D2199" w:rsidRDefault="000D2199" w:rsidP="000D2199">
      <w:pPr>
        <w:rPr>
          <w:sz w:val="19"/>
          <w:szCs w:val="19"/>
        </w:rPr>
      </w:pPr>
      <w:r>
        <w:rPr>
          <w:sz w:val="19"/>
          <w:szCs w:val="19"/>
        </w:rPr>
        <w:t>The person selling you or advising you about this product may charge you other costs. If so, this person will provide you with information about these costs, and show you the impact that all costs will have on your investment over time.</w:t>
      </w:r>
    </w:p>
    <w:tbl>
      <w:tblPr>
        <w:tblW w:w="9918" w:type="dxa"/>
        <w:tblLook w:val="04A0" w:firstRow="1" w:lastRow="0" w:firstColumn="1" w:lastColumn="0" w:noHBand="0" w:noVBand="1"/>
      </w:tblPr>
      <w:tblGrid>
        <w:gridCol w:w="3539"/>
        <w:gridCol w:w="1559"/>
        <w:gridCol w:w="1582"/>
        <w:gridCol w:w="3238"/>
      </w:tblGrid>
      <w:tr w:rsidR="00F81762" w:rsidRPr="00F81762" w:rsidTr="00F81762">
        <w:trPr>
          <w:trHeight w:val="816"/>
        </w:trPr>
        <w:tc>
          <w:tcPr>
            <w:tcW w:w="3539" w:type="dxa"/>
            <w:tcBorders>
              <w:top w:val="single" w:sz="4" w:space="0" w:color="5B9BD5"/>
              <w:left w:val="single" w:sz="4" w:space="0" w:color="5B9BD5"/>
              <w:bottom w:val="single" w:sz="4" w:space="0" w:color="5B9BD5"/>
              <w:right w:val="single" w:sz="4" w:space="0" w:color="5B9BD5"/>
            </w:tcBorders>
            <w:shd w:val="clear" w:color="000000" w:fill="5B9BD5"/>
            <w:vAlign w:val="bottom"/>
            <w:hideMark/>
          </w:tcPr>
          <w:p w:rsidR="00F81762" w:rsidRPr="00F81762" w:rsidRDefault="00F81762" w:rsidP="00F81762">
            <w:pPr>
              <w:spacing w:after="0"/>
              <w:rPr>
                <w:rFonts w:ascii="Georgia" w:eastAsia="Times New Roman" w:hAnsi="Georgia" w:cs="Calibri"/>
                <w:b/>
                <w:color w:val="FFFFFF"/>
                <w:sz w:val="20"/>
                <w:szCs w:val="20"/>
                <w:lang w:eastAsia="en-GB"/>
              </w:rPr>
            </w:pPr>
            <w:r w:rsidRPr="00F81762">
              <w:rPr>
                <w:rFonts w:ascii="Georgia" w:eastAsia="Times New Roman" w:hAnsi="Georgia" w:cs="Calibri"/>
                <w:b/>
                <w:color w:val="FFFFFF"/>
                <w:sz w:val="20"/>
                <w:szCs w:val="20"/>
                <w:lang w:eastAsia="en-GB"/>
              </w:rPr>
              <w:t>Investment £10,000</w:t>
            </w:r>
            <w:r w:rsidRPr="00F81762">
              <w:rPr>
                <w:rFonts w:ascii="Georgia" w:eastAsia="Times New Roman" w:hAnsi="Georgia" w:cs="Calibri"/>
                <w:b/>
                <w:color w:val="FFFFFF"/>
                <w:sz w:val="20"/>
                <w:szCs w:val="20"/>
                <w:lang w:eastAsia="en-GB"/>
              </w:rPr>
              <w:br/>
              <w:t xml:space="preserve"> Scenarios</w:t>
            </w:r>
          </w:p>
        </w:tc>
        <w:tc>
          <w:tcPr>
            <w:tcW w:w="1559" w:type="dxa"/>
            <w:tcBorders>
              <w:top w:val="single" w:sz="4" w:space="0" w:color="5B9BD5"/>
              <w:left w:val="nil"/>
              <w:bottom w:val="single" w:sz="4" w:space="0" w:color="5B9BD5"/>
              <w:right w:val="single" w:sz="4" w:space="0" w:color="5B9BD5"/>
            </w:tcBorders>
            <w:shd w:val="clear" w:color="000000" w:fill="5B9BD5"/>
            <w:vAlign w:val="bottom"/>
            <w:hideMark/>
          </w:tcPr>
          <w:p w:rsidR="00F81762" w:rsidRPr="00F81762" w:rsidRDefault="00F81762" w:rsidP="00F81762">
            <w:pPr>
              <w:spacing w:after="0"/>
              <w:rPr>
                <w:rFonts w:ascii="Georgia" w:eastAsia="Times New Roman" w:hAnsi="Georgia" w:cs="Calibri"/>
                <w:b/>
                <w:color w:val="FFFFFF"/>
                <w:sz w:val="20"/>
                <w:szCs w:val="20"/>
                <w:lang w:eastAsia="en-GB"/>
              </w:rPr>
            </w:pPr>
            <w:r w:rsidRPr="00F81762">
              <w:rPr>
                <w:rFonts w:ascii="Georgia" w:eastAsia="Times New Roman" w:hAnsi="Georgia" w:cs="Calibri"/>
                <w:b/>
                <w:color w:val="FFFFFF"/>
                <w:sz w:val="20"/>
                <w:szCs w:val="20"/>
                <w:lang w:eastAsia="en-GB"/>
              </w:rPr>
              <w:t>If you cash in after 1 Year</w:t>
            </w:r>
          </w:p>
        </w:tc>
        <w:tc>
          <w:tcPr>
            <w:tcW w:w="1582" w:type="dxa"/>
            <w:tcBorders>
              <w:top w:val="single" w:sz="4" w:space="0" w:color="5B9BD5"/>
              <w:left w:val="nil"/>
              <w:bottom w:val="single" w:sz="4" w:space="0" w:color="5B9BD5"/>
              <w:right w:val="single" w:sz="4" w:space="0" w:color="5B9BD5"/>
            </w:tcBorders>
            <w:shd w:val="clear" w:color="000000" w:fill="5B9BD5"/>
            <w:vAlign w:val="bottom"/>
            <w:hideMark/>
          </w:tcPr>
          <w:p w:rsidR="00F81762" w:rsidRPr="00F81762" w:rsidRDefault="00F81762" w:rsidP="00F81762">
            <w:pPr>
              <w:spacing w:after="0"/>
              <w:rPr>
                <w:rFonts w:ascii="Georgia" w:eastAsia="Times New Roman" w:hAnsi="Georgia" w:cs="Calibri"/>
                <w:b/>
                <w:color w:val="FFFFFF"/>
                <w:sz w:val="20"/>
                <w:szCs w:val="20"/>
                <w:lang w:eastAsia="en-GB"/>
              </w:rPr>
            </w:pPr>
            <w:r w:rsidRPr="00F81762">
              <w:rPr>
                <w:rFonts w:ascii="Georgia" w:eastAsia="Times New Roman" w:hAnsi="Georgia" w:cs="Calibri"/>
                <w:b/>
                <w:color w:val="FFFFFF"/>
                <w:sz w:val="20"/>
                <w:szCs w:val="20"/>
                <w:lang w:eastAsia="en-GB"/>
              </w:rPr>
              <w:t>If you cash in after 3 Years</w:t>
            </w:r>
          </w:p>
        </w:tc>
        <w:tc>
          <w:tcPr>
            <w:tcW w:w="3238" w:type="dxa"/>
            <w:tcBorders>
              <w:top w:val="single" w:sz="4" w:space="0" w:color="5B9BD5"/>
              <w:left w:val="nil"/>
              <w:bottom w:val="single" w:sz="4" w:space="0" w:color="5B9BD5"/>
              <w:right w:val="single" w:sz="4" w:space="0" w:color="5B9BD5"/>
            </w:tcBorders>
            <w:shd w:val="clear" w:color="000000" w:fill="5B9BD5"/>
            <w:vAlign w:val="bottom"/>
            <w:hideMark/>
          </w:tcPr>
          <w:p w:rsidR="00F81762" w:rsidRPr="00F81762" w:rsidRDefault="00F81762" w:rsidP="00F81762">
            <w:pPr>
              <w:spacing w:after="0"/>
              <w:rPr>
                <w:rFonts w:ascii="Georgia" w:eastAsia="Times New Roman" w:hAnsi="Georgia" w:cs="Calibri"/>
                <w:b/>
                <w:color w:val="FFFFFF"/>
                <w:sz w:val="20"/>
                <w:szCs w:val="20"/>
                <w:lang w:eastAsia="en-GB"/>
              </w:rPr>
            </w:pPr>
            <w:r w:rsidRPr="00F81762">
              <w:rPr>
                <w:rFonts w:ascii="Georgia" w:eastAsia="Times New Roman" w:hAnsi="Georgia" w:cs="Calibri"/>
                <w:b/>
                <w:color w:val="FFFFFF"/>
                <w:sz w:val="20"/>
                <w:szCs w:val="20"/>
                <w:lang w:eastAsia="en-GB"/>
              </w:rPr>
              <w:t>If you cash in at the end of the recommended holding period (5 Years)</w:t>
            </w:r>
          </w:p>
        </w:tc>
      </w:tr>
      <w:tr w:rsidR="00F81762" w:rsidRPr="00F81762" w:rsidTr="00F81762">
        <w:trPr>
          <w:trHeight w:val="288"/>
        </w:trPr>
        <w:tc>
          <w:tcPr>
            <w:tcW w:w="3539" w:type="dxa"/>
            <w:tcBorders>
              <w:top w:val="nil"/>
              <w:left w:val="single" w:sz="4" w:space="0" w:color="5B9BD5"/>
              <w:bottom w:val="single" w:sz="4" w:space="0" w:color="5B9BD5"/>
              <w:right w:val="single" w:sz="4" w:space="0" w:color="5B9BD5"/>
            </w:tcBorders>
            <w:shd w:val="clear" w:color="auto" w:fill="auto"/>
            <w:noWrap/>
            <w:vAlign w:val="bottom"/>
            <w:hideMark/>
          </w:tcPr>
          <w:p w:rsidR="00F81762" w:rsidRPr="00F81762" w:rsidRDefault="00F81762" w:rsidP="00F81762">
            <w:pPr>
              <w:spacing w:after="0"/>
              <w:rPr>
                <w:rFonts w:ascii="Georgia" w:eastAsia="Times New Roman" w:hAnsi="Georgia" w:cs="Calibri"/>
                <w:b/>
                <w:color w:val="000000"/>
                <w:sz w:val="18"/>
                <w:szCs w:val="18"/>
                <w:lang w:eastAsia="en-GB"/>
              </w:rPr>
            </w:pPr>
            <w:r w:rsidRPr="00F81762">
              <w:rPr>
                <w:rFonts w:ascii="Georgia" w:eastAsia="Times New Roman" w:hAnsi="Georgia" w:cs="Calibri"/>
                <w:b/>
                <w:color w:val="000000"/>
                <w:sz w:val="18"/>
                <w:szCs w:val="18"/>
                <w:lang w:eastAsia="en-GB"/>
              </w:rPr>
              <w:t>Total costs</w:t>
            </w:r>
          </w:p>
        </w:tc>
        <w:tc>
          <w:tcPr>
            <w:tcW w:w="1559" w:type="dxa"/>
            <w:tcBorders>
              <w:top w:val="nil"/>
              <w:left w:val="nil"/>
              <w:bottom w:val="single" w:sz="4" w:space="0" w:color="5B9BD5"/>
              <w:right w:val="single" w:sz="4" w:space="0" w:color="5B9BD5"/>
            </w:tcBorders>
            <w:shd w:val="clear" w:color="auto" w:fill="auto"/>
            <w:noWrap/>
            <w:vAlign w:val="bottom"/>
            <w:hideMark/>
          </w:tcPr>
          <w:p w:rsidR="00F81762" w:rsidRPr="00F81762" w:rsidRDefault="00F81762" w:rsidP="007E568D">
            <w:pPr>
              <w:spacing w:after="0"/>
              <w:jc w:val="center"/>
              <w:rPr>
                <w:rFonts w:ascii="Georgia" w:eastAsia="Times New Roman" w:hAnsi="Georgia" w:cs="Calibri"/>
                <w:color w:val="000000"/>
                <w:sz w:val="18"/>
                <w:szCs w:val="18"/>
                <w:lang w:eastAsia="en-GB"/>
              </w:rPr>
            </w:pPr>
            <w:r w:rsidRPr="00F81762">
              <w:rPr>
                <w:rFonts w:ascii="Georgia" w:eastAsia="Times New Roman" w:hAnsi="Georgia" w:cs="Calibri"/>
                <w:color w:val="000000"/>
                <w:sz w:val="18"/>
                <w:szCs w:val="18"/>
                <w:lang w:eastAsia="en-GB"/>
              </w:rPr>
              <w:t>£613</w:t>
            </w:r>
          </w:p>
        </w:tc>
        <w:tc>
          <w:tcPr>
            <w:tcW w:w="1582" w:type="dxa"/>
            <w:tcBorders>
              <w:top w:val="nil"/>
              <w:left w:val="nil"/>
              <w:bottom w:val="single" w:sz="4" w:space="0" w:color="5B9BD5"/>
              <w:right w:val="single" w:sz="4" w:space="0" w:color="5B9BD5"/>
            </w:tcBorders>
            <w:shd w:val="clear" w:color="auto" w:fill="auto"/>
            <w:noWrap/>
            <w:vAlign w:val="bottom"/>
            <w:hideMark/>
          </w:tcPr>
          <w:p w:rsidR="00F81762" w:rsidRPr="00F81762" w:rsidRDefault="00F81762" w:rsidP="007E568D">
            <w:pPr>
              <w:spacing w:after="0"/>
              <w:jc w:val="center"/>
              <w:rPr>
                <w:rFonts w:ascii="Georgia" w:eastAsia="Times New Roman" w:hAnsi="Georgia" w:cs="Calibri"/>
                <w:color w:val="000000"/>
                <w:sz w:val="18"/>
                <w:szCs w:val="18"/>
                <w:lang w:eastAsia="en-GB"/>
              </w:rPr>
            </w:pPr>
            <w:r w:rsidRPr="00F81762">
              <w:rPr>
                <w:rFonts w:ascii="Georgia" w:eastAsia="Times New Roman" w:hAnsi="Georgia" w:cs="Calibri"/>
                <w:color w:val="000000"/>
                <w:sz w:val="18"/>
                <w:szCs w:val="18"/>
                <w:lang w:eastAsia="en-GB"/>
              </w:rPr>
              <w:t>£1,839</w:t>
            </w:r>
          </w:p>
        </w:tc>
        <w:tc>
          <w:tcPr>
            <w:tcW w:w="3238" w:type="dxa"/>
            <w:tcBorders>
              <w:top w:val="nil"/>
              <w:left w:val="nil"/>
              <w:bottom w:val="single" w:sz="4" w:space="0" w:color="5B9BD5"/>
              <w:right w:val="single" w:sz="4" w:space="0" w:color="5B9BD5"/>
            </w:tcBorders>
            <w:shd w:val="clear" w:color="auto" w:fill="auto"/>
            <w:noWrap/>
            <w:vAlign w:val="bottom"/>
            <w:hideMark/>
          </w:tcPr>
          <w:p w:rsidR="00F81762" w:rsidRPr="00F81762" w:rsidRDefault="00F81762" w:rsidP="007E568D">
            <w:pPr>
              <w:spacing w:after="0"/>
              <w:jc w:val="center"/>
              <w:rPr>
                <w:rFonts w:ascii="Georgia" w:eastAsia="Times New Roman" w:hAnsi="Georgia" w:cs="Calibri"/>
                <w:color w:val="000000"/>
                <w:sz w:val="18"/>
                <w:szCs w:val="18"/>
                <w:lang w:eastAsia="en-GB"/>
              </w:rPr>
            </w:pPr>
            <w:r w:rsidRPr="00F81762">
              <w:rPr>
                <w:rFonts w:ascii="Georgia" w:eastAsia="Times New Roman" w:hAnsi="Georgia" w:cs="Calibri"/>
                <w:color w:val="000000"/>
                <w:sz w:val="18"/>
                <w:szCs w:val="18"/>
                <w:lang w:eastAsia="en-GB"/>
              </w:rPr>
              <w:t>£3,065</w:t>
            </w:r>
          </w:p>
        </w:tc>
      </w:tr>
      <w:tr w:rsidR="00F81762" w:rsidRPr="00F81762" w:rsidTr="00F81762">
        <w:trPr>
          <w:trHeight w:val="288"/>
        </w:trPr>
        <w:tc>
          <w:tcPr>
            <w:tcW w:w="3539" w:type="dxa"/>
            <w:tcBorders>
              <w:top w:val="nil"/>
              <w:left w:val="single" w:sz="4" w:space="0" w:color="5B9BD5"/>
              <w:bottom w:val="single" w:sz="4" w:space="0" w:color="5B9BD5"/>
              <w:right w:val="single" w:sz="4" w:space="0" w:color="5B9BD5"/>
            </w:tcBorders>
            <w:shd w:val="clear" w:color="auto" w:fill="auto"/>
            <w:noWrap/>
            <w:vAlign w:val="bottom"/>
            <w:hideMark/>
          </w:tcPr>
          <w:p w:rsidR="00F81762" w:rsidRPr="00F81762" w:rsidRDefault="00F81762" w:rsidP="00F81762">
            <w:pPr>
              <w:spacing w:after="0"/>
              <w:rPr>
                <w:rFonts w:ascii="Georgia" w:eastAsia="Times New Roman" w:hAnsi="Georgia" w:cs="Calibri"/>
                <w:b/>
                <w:color w:val="000000"/>
                <w:sz w:val="18"/>
                <w:szCs w:val="18"/>
                <w:lang w:eastAsia="en-GB"/>
              </w:rPr>
            </w:pPr>
            <w:r w:rsidRPr="00F81762">
              <w:rPr>
                <w:rFonts w:ascii="Georgia" w:eastAsia="Times New Roman" w:hAnsi="Georgia" w:cs="Calibri"/>
                <w:b/>
                <w:color w:val="000000"/>
                <w:sz w:val="18"/>
                <w:szCs w:val="18"/>
                <w:lang w:eastAsia="en-GB"/>
              </w:rPr>
              <w:t>Impact on return (RIY) per year</w:t>
            </w:r>
          </w:p>
        </w:tc>
        <w:tc>
          <w:tcPr>
            <w:tcW w:w="1559" w:type="dxa"/>
            <w:tcBorders>
              <w:top w:val="nil"/>
              <w:left w:val="nil"/>
              <w:bottom w:val="single" w:sz="4" w:space="0" w:color="5B9BD5"/>
              <w:right w:val="single" w:sz="4" w:space="0" w:color="5B9BD5"/>
            </w:tcBorders>
            <w:shd w:val="clear" w:color="auto" w:fill="auto"/>
            <w:noWrap/>
            <w:vAlign w:val="bottom"/>
            <w:hideMark/>
          </w:tcPr>
          <w:p w:rsidR="00F81762" w:rsidRPr="00F81762" w:rsidRDefault="00F81762" w:rsidP="007E568D">
            <w:pPr>
              <w:spacing w:after="0"/>
              <w:jc w:val="center"/>
              <w:rPr>
                <w:rFonts w:ascii="Georgia" w:eastAsia="Times New Roman" w:hAnsi="Georgia" w:cs="Calibri"/>
                <w:color w:val="000000"/>
                <w:sz w:val="18"/>
                <w:szCs w:val="18"/>
                <w:lang w:eastAsia="en-GB"/>
              </w:rPr>
            </w:pPr>
            <w:r w:rsidRPr="00F81762">
              <w:rPr>
                <w:rFonts w:ascii="Georgia" w:eastAsia="Times New Roman" w:hAnsi="Georgia" w:cs="Calibri"/>
                <w:color w:val="000000"/>
                <w:sz w:val="18"/>
                <w:szCs w:val="18"/>
                <w:lang w:eastAsia="en-GB"/>
              </w:rPr>
              <w:t>6.13%</w:t>
            </w:r>
          </w:p>
        </w:tc>
        <w:tc>
          <w:tcPr>
            <w:tcW w:w="1582" w:type="dxa"/>
            <w:tcBorders>
              <w:top w:val="nil"/>
              <w:left w:val="nil"/>
              <w:bottom w:val="single" w:sz="4" w:space="0" w:color="5B9BD5"/>
              <w:right w:val="single" w:sz="4" w:space="0" w:color="5B9BD5"/>
            </w:tcBorders>
            <w:shd w:val="clear" w:color="auto" w:fill="auto"/>
            <w:noWrap/>
            <w:vAlign w:val="bottom"/>
            <w:hideMark/>
          </w:tcPr>
          <w:p w:rsidR="00F81762" w:rsidRPr="00F81762" w:rsidRDefault="00F81762" w:rsidP="007E568D">
            <w:pPr>
              <w:spacing w:after="0"/>
              <w:jc w:val="center"/>
              <w:rPr>
                <w:rFonts w:ascii="Georgia" w:eastAsia="Times New Roman" w:hAnsi="Georgia" w:cs="Calibri"/>
                <w:color w:val="000000"/>
                <w:sz w:val="18"/>
                <w:szCs w:val="18"/>
                <w:lang w:eastAsia="en-GB"/>
              </w:rPr>
            </w:pPr>
            <w:r w:rsidRPr="00F81762">
              <w:rPr>
                <w:rFonts w:ascii="Georgia" w:eastAsia="Times New Roman" w:hAnsi="Georgia" w:cs="Calibri"/>
                <w:color w:val="000000"/>
                <w:sz w:val="18"/>
                <w:szCs w:val="18"/>
                <w:lang w:eastAsia="en-GB"/>
              </w:rPr>
              <w:t>6.13%</w:t>
            </w:r>
          </w:p>
        </w:tc>
        <w:tc>
          <w:tcPr>
            <w:tcW w:w="3238" w:type="dxa"/>
            <w:tcBorders>
              <w:top w:val="nil"/>
              <w:left w:val="nil"/>
              <w:bottom w:val="single" w:sz="4" w:space="0" w:color="5B9BD5"/>
              <w:right w:val="single" w:sz="4" w:space="0" w:color="5B9BD5"/>
            </w:tcBorders>
            <w:shd w:val="clear" w:color="auto" w:fill="auto"/>
            <w:noWrap/>
            <w:vAlign w:val="bottom"/>
            <w:hideMark/>
          </w:tcPr>
          <w:p w:rsidR="00F81762" w:rsidRPr="00F81762" w:rsidRDefault="00F81762" w:rsidP="007E568D">
            <w:pPr>
              <w:spacing w:after="0"/>
              <w:jc w:val="center"/>
              <w:rPr>
                <w:rFonts w:ascii="Georgia" w:eastAsia="Times New Roman" w:hAnsi="Georgia" w:cs="Calibri"/>
                <w:color w:val="000000"/>
                <w:sz w:val="18"/>
                <w:szCs w:val="18"/>
                <w:lang w:eastAsia="en-GB"/>
              </w:rPr>
            </w:pPr>
            <w:r w:rsidRPr="00F81762">
              <w:rPr>
                <w:rFonts w:ascii="Georgia" w:eastAsia="Times New Roman" w:hAnsi="Georgia" w:cs="Calibri"/>
                <w:color w:val="000000"/>
                <w:sz w:val="18"/>
                <w:szCs w:val="18"/>
                <w:lang w:eastAsia="en-GB"/>
              </w:rPr>
              <w:t>6.13%</w:t>
            </w:r>
          </w:p>
        </w:tc>
      </w:tr>
    </w:tbl>
    <w:p w:rsidR="00720DFF" w:rsidRPr="00FF162E" w:rsidRDefault="00720DFF" w:rsidP="00FF162E">
      <w:pPr>
        <w:pStyle w:val="Heading2"/>
        <w:spacing w:after="120"/>
      </w:pPr>
      <w:bookmarkStart w:id="4" w:name="_Hlk503271509"/>
      <w:r w:rsidRPr="00FB63EB">
        <w:rPr>
          <w:color w:val="4472C4" w:themeColor="accent5"/>
        </w:rPr>
        <w:lastRenderedPageBreak/>
        <w:t>What are the costs? (continued</w:t>
      </w:r>
      <w:r>
        <w:t>)</w:t>
      </w:r>
    </w:p>
    <w:p w:rsidR="00256DDB" w:rsidRDefault="0041617E" w:rsidP="0041617E">
      <w:pPr>
        <w:spacing w:after="40"/>
      </w:pPr>
      <w:r>
        <w:rPr>
          <w:b/>
          <w:sz w:val="20"/>
          <w:szCs w:val="20"/>
        </w:rPr>
        <w:t>Composition of costs</w:t>
      </w:r>
    </w:p>
    <w:p w:rsidR="0041617E" w:rsidRDefault="0041617E" w:rsidP="000D2199">
      <w:pPr>
        <w:spacing w:after="0"/>
        <w:rPr>
          <w:sz w:val="19"/>
          <w:szCs w:val="19"/>
        </w:rPr>
      </w:pPr>
      <w:r>
        <w:rPr>
          <w:sz w:val="19"/>
          <w:szCs w:val="19"/>
        </w:rPr>
        <w:t>The table below shows:</w:t>
      </w:r>
    </w:p>
    <w:p w:rsidR="0041617E" w:rsidRDefault="0041617E" w:rsidP="000D2199">
      <w:pPr>
        <w:spacing w:after="0"/>
        <w:rPr>
          <w:sz w:val="19"/>
          <w:szCs w:val="19"/>
        </w:rPr>
      </w:pPr>
      <w:r>
        <w:rPr>
          <w:sz w:val="19"/>
          <w:szCs w:val="19"/>
        </w:rPr>
        <w:t xml:space="preserve">- the impact each year of the different types of costs on the investment return you might get at the end of the recommended holding period; </w:t>
      </w:r>
    </w:p>
    <w:p w:rsidR="0041617E" w:rsidRDefault="0041617E" w:rsidP="000D2199">
      <w:pPr>
        <w:spacing w:after="0"/>
        <w:rPr>
          <w:sz w:val="19"/>
          <w:szCs w:val="19"/>
        </w:rPr>
      </w:pPr>
      <w:r>
        <w:rPr>
          <w:sz w:val="19"/>
          <w:szCs w:val="19"/>
        </w:rPr>
        <w:t>- the meaning of the different cost categories.</w:t>
      </w:r>
    </w:p>
    <w:p w:rsidR="00FF162E" w:rsidRPr="00F91E7C" w:rsidRDefault="00FF162E" w:rsidP="00F91E7C"/>
    <w:tbl>
      <w:tblPr>
        <w:tblW w:w="10627" w:type="dxa"/>
        <w:tblLook w:val="04A0" w:firstRow="1" w:lastRow="0" w:firstColumn="1" w:lastColumn="0" w:noHBand="0" w:noVBand="1"/>
      </w:tblPr>
      <w:tblGrid>
        <w:gridCol w:w="1167"/>
        <w:gridCol w:w="2070"/>
        <w:gridCol w:w="744"/>
        <w:gridCol w:w="6646"/>
      </w:tblGrid>
      <w:tr w:rsidR="00FF162E" w:rsidRPr="00FF162E" w:rsidTr="00FF162E">
        <w:trPr>
          <w:trHeight w:val="444"/>
        </w:trPr>
        <w:tc>
          <w:tcPr>
            <w:tcW w:w="10627" w:type="dxa"/>
            <w:gridSpan w:val="4"/>
            <w:tcBorders>
              <w:top w:val="single" w:sz="4" w:space="0" w:color="FFFFFF"/>
              <w:left w:val="single" w:sz="4" w:space="0" w:color="FFFFFF"/>
              <w:bottom w:val="nil"/>
              <w:right w:val="single" w:sz="4" w:space="0" w:color="FFFFFF"/>
            </w:tcBorders>
            <w:shd w:val="clear" w:color="000000" w:fill="5B9BD5"/>
            <w:noWrap/>
            <w:vAlign w:val="center"/>
            <w:hideMark/>
          </w:tcPr>
          <w:p w:rsidR="00FF162E" w:rsidRPr="00FF162E" w:rsidRDefault="00FF162E" w:rsidP="00FF162E">
            <w:pPr>
              <w:spacing w:after="0"/>
              <w:rPr>
                <w:rFonts w:ascii="Georgia" w:eastAsia="Times New Roman" w:hAnsi="Georgia" w:cs="Calibri"/>
                <w:b/>
                <w:color w:val="FFFFFF"/>
                <w:sz w:val="20"/>
                <w:szCs w:val="20"/>
                <w:lang w:eastAsia="en-GB"/>
              </w:rPr>
            </w:pPr>
            <w:r w:rsidRPr="00FF162E">
              <w:rPr>
                <w:rFonts w:ascii="Georgia" w:eastAsia="Times New Roman" w:hAnsi="Georgia" w:cs="Calibri"/>
                <w:b/>
                <w:color w:val="FFFFFF"/>
                <w:sz w:val="20"/>
                <w:szCs w:val="20"/>
                <w:lang w:eastAsia="en-GB"/>
              </w:rPr>
              <w:t>This table shows the impact on return per year</w:t>
            </w:r>
          </w:p>
        </w:tc>
      </w:tr>
      <w:tr w:rsidR="00FF162E" w:rsidRPr="00FF162E" w:rsidTr="00FF162E">
        <w:trPr>
          <w:trHeight w:val="288"/>
        </w:trPr>
        <w:tc>
          <w:tcPr>
            <w:tcW w:w="1167" w:type="dxa"/>
            <w:vMerge w:val="restart"/>
            <w:tcBorders>
              <w:top w:val="single" w:sz="4" w:space="0" w:color="5B9BD5"/>
              <w:left w:val="single" w:sz="4" w:space="0" w:color="5B9BD5"/>
              <w:bottom w:val="single" w:sz="4" w:space="0" w:color="5B9BD5"/>
              <w:right w:val="single" w:sz="4" w:space="0" w:color="5B9BD5"/>
            </w:tcBorders>
            <w:shd w:val="clear" w:color="000000" w:fill="FFFFFF"/>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One-off</w:t>
            </w:r>
            <w:r w:rsidRPr="00FF162E">
              <w:rPr>
                <w:rFonts w:ascii="Georgia" w:eastAsia="Times New Roman" w:hAnsi="Georgia" w:cs="Calibri"/>
                <w:b/>
                <w:bCs/>
                <w:sz w:val="18"/>
                <w:szCs w:val="18"/>
                <w:lang w:eastAsia="en-GB"/>
              </w:rPr>
              <w:br/>
              <w:t xml:space="preserve"> costs</w:t>
            </w:r>
          </w:p>
        </w:tc>
        <w:tc>
          <w:tcPr>
            <w:tcW w:w="2070" w:type="dxa"/>
            <w:tcBorders>
              <w:top w:val="single" w:sz="4" w:space="0" w:color="5B9BD5"/>
              <w:left w:val="nil"/>
              <w:bottom w:val="single" w:sz="4" w:space="0" w:color="5B9BD5"/>
              <w:right w:val="single" w:sz="4" w:space="0" w:color="5B9BD5"/>
            </w:tcBorders>
            <w:shd w:val="clear" w:color="000000" w:fill="FFFFFF"/>
            <w:noWrap/>
            <w:vAlign w:val="bottom"/>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Entry costs</w:t>
            </w:r>
          </w:p>
        </w:tc>
        <w:tc>
          <w:tcPr>
            <w:tcW w:w="744" w:type="dxa"/>
            <w:tcBorders>
              <w:top w:val="single" w:sz="4" w:space="0" w:color="5B9BD5"/>
              <w:left w:val="nil"/>
              <w:bottom w:val="single" w:sz="4" w:space="0" w:color="5B9BD5"/>
              <w:right w:val="single" w:sz="4" w:space="0" w:color="5B9BD5"/>
            </w:tcBorders>
            <w:shd w:val="clear" w:color="000000" w:fill="FFFFFF"/>
            <w:noWrap/>
            <w:vAlign w:val="center"/>
            <w:hideMark/>
          </w:tcPr>
          <w:p w:rsidR="00FF162E" w:rsidRPr="002978F3" w:rsidRDefault="00FF162E" w:rsidP="002978F3">
            <w:pPr>
              <w:spacing w:after="0"/>
              <w:rPr>
                <w:rFonts w:ascii="Georgia" w:eastAsia="Times New Roman" w:hAnsi="Georgia" w:cs="Calibri"/>
                <w:sz w:val="18"/>
                <w:szCs w:val="18"/>
                <w:lang w:eastAsia="en-GB"/>
              </w:rPr>
            </w:pPr>
            <w:r w:rsidRPr="002978F3">
              <w:rPr>
                <w:rFonts w:ascii="Georgia" w:eastAsia="Times New Roman" w:hAnsi="Georgia" w:cs="Calibri"/>
                <w:sz w:val="18"/>
                <w:szCs w:val="18"/>
                <w:lang w:eastAsia="en-GB"/>
              </w:rPr>
              <w:t>0.00%</w:t>
            </w:r>
          </w:p>
        </w:tc>
        <w:tc>
          <w:tcPr>
            <w:tcW w:w="6646" w:type="dxa"/>
            <w:tcBorders>
              <w:top w:val="single" w:sz="4" w:space="0" w:color="5B9BD5"/>
              <w:left w:val="nil"/>
              <w:bottom w:val="single" w:sz="4" w:space="0" w:color="5B9BD5"/>
              <w:right w:val="single" w:sz="4" w:space="0" w:color="5B9BD5"/>
            </w:tcBorders>
            <w:shd w:val="clear" w:color="000000" w:fill="FFFFFF"/>
            <w:noWrap/>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 xml:space="preserve">The impact of the costs you pay when entering your investment. </w:t>
            </w:r>
          </w:p>
        </w:tc>
      </w:tr>
      <w:tr w:rsidR="00FF162E" w:rsidRPr="00FF162E" w:rsidTr="00FF162E">
        <w:trPr>
          <w:trHeight w:val="288"/>
        </w:trPr>
        <w:tc>
          <w:tcPr>
            <w:tcW w:w="1167" w:type="dxa"/>
            <w:vMerge/>
            <w:tcBorders>
              <w:top w:val="single" w:sz="4" w:space="0" w:color="5B9BD5"/>
              <w:left w:val="single" w:sz="4" w:space="0" w:color="5B9BD5"/>
              <w:bottom w:val="single" w:sz="4" w:space="0" w:color="5B9BD5"/>
              <w:right w:val="single" w:sz="4" w:space="0" w:color="5B9BD5"/>
            </w:tcBorders>
            <w:vAlign w:val="center"/>
            <w:hideMark/>
          </w:tcPr>
          <w:p w:rsidR="00FF162E" w:rsidRPr="00FF162E" w:rsidRDefault="00FF162E" w:rsidP="00FF162E">
            <w:pPr>
              <w:spacing w:after="0"/>
              <w:rPr>
                <w:rFonts w:ascii="Georgia" w:eastAsia="Times New Roman" w:hAnsi="Georgia" w:cs="Calibri"/>
                <w:b/>
                <w:bCs/>
                <w:sz w:val="18"/>
                <w:szCs w:val="18"/>
                <w:lang w:eastAsia="en-GB"/>
              </w:rPr>
            </w:pPr>
          </w:p>
        </w:tc>
        <w:tc>
          <w:tcPr>
            <w:tcW w:w="2070" w:type="dxa"/>
            <w:tcBorders>
              <w:top w:val="nil"/>
              <w:left w:val="nil"/>
              <w:bottom w:val="single" w:sz="4" w:space="0" w:color="5B9BD5"/>
              <w:right w:val="single" w:sz="4" w:space="0" w:color="5B9BD5"/>
            </w:tcBorders>
            <w:shd w:val="clear" w:color="000000" w:fill="FFFFFF"/>
            <w:noWrap/>
            <w:vAlign w:val="bottom"/>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Exit costs</w:t>
            </w:r>
          </w:p>
        </w:tc>
        <w:tc>
          <w:tcPr>
            <w:tcW w:w="744"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right"/>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0.00%</w:t>
            </w:r>
          </w:p>
        </w:tc>
        <w:tc>
          <w:tcPr>
            <w:tcW w:w="6646" w:type="dxa"/>
            <w:tcBorders>
              <w:top w:val="nil"/>
              <w:left w:val="nil"/>
              <w:bottom w:val="single" w:sz="4" w:space="0" w:color="5B9BD5"/>
              <w:right w:val="single" w:sz="4" w:space="0" w:color="5B9BD5"/>
            </w:tcBorders>
            <w:shd w:val="clear" w:color="000000" w:fill="FFFFFF"/>
            <w:noWrap/>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The impact of the costs of exiting your investment when it matures.</w:t>
            </w:r>
          </w:p>
        </w:tc>
      </w:tr>
      <w:tr w:rsidR="00FF162E" w:rsidRPr="00FF162E" w:rsidTr="00FF162E">
        <w:trPr>
          <w:trHeight w:val="624"/>
        </w:trPr>
        <w:tc>
          <w:tcPr>
            <w:tcW w:w="1167" w:type="dxa"/>
            <w:vMerge w:val="restart"/>
            <w:tcBorders>
              <w:top w:val="nil"/>
              <w:left w:val="single" w:sz="4" w:space="0" w:color="5B9BD5"/>
              <w:bottom w:val="single" w:sz="4" w:space="0" w:color="5B9BD5"/>
              <w:right w:val="single" w:sz="4" w:space="0" w:color="5B9BD5"/>
            </w:tcBorders>
            <w:shd w:val="clear" w:color="000000" w:fill="FFFFFF"/>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Ongoing costs</w:t>
            </w:r>
          </w:p>
        </w:tc>
        <w:tc>
          <w:tcPr>
            <w:tcW w:w="2070" w:type="dxa"/>
            <w:tcBorders>
              <w:top w:val="nil"/>
              <w:left w:val="nil"/>
              <w:bottom w:val="single" w:sz="4" w:space="0" w:color="5B9BD5"/>
              <w:right w:val="single" w:sz="4" w:space="0" w:color="5B9BD5"/>
            </w:tcBorders>
            <w:shd w:val="clear" w:color="000000" w:fill="FFFFFF"/>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Portfolio transaction costs</w:t>
            </w:r>
          </w:p>
        </w:tc>
        <w:tc>
          <w:tcPr>
            <w:tcW w:w="744"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right"/>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0.00%</w:t>
            </w:r>
          </w:p>
        </w:tc>
        <w:tc>
          <w:tcPr>
            <w:tcW w:w="6646" w:type="dxa"/>
            <w:tcBorders>
              <w:top w:val="nil"/>
              <w:left w:val="nil"/>
              <w:bottom w:val="single" w:sz="4" w:space="0" w:color="5B9BD5"/>
              <w:right w:val="single" w:sz="4" w:space="0" w:color="5B9BD5"/>
            </w:tcBorders>
            <w:shd w:val="clear" w:color="000000" w:fill="FFFFFF"/>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The impact of the costs of JZCP buying and selling underlying investments for the product.</w:t>
            </w:r>
          </w:p>
        </w:tc>
      </w:tr>
      <w:tr w:rsidR="00FF162E" w:rsidRPr="00FF162E" w:rsidTr="00FF162E">
        <w:trPr>
          <w:trHeight w:val="474"/>
        </w:trPr>
        <w:tc>
          <w:tcPr>
            <w:tcW w:w="1167" w:type="dxa"/>
            <w:vMerge/>
            <w:tcBorders>
              <w:top w:val="nil"/>
              <w:left w:val="single" w:sz="4" w:space="0" w:color="5B9BD5"/>
              <w:bottom w:val="single" w:sz="4" w:space="0" w:color="5B9BD5"/>
              <w:right w:val="single" w:sz="4" w:space="0" w:color="5B9BD5"/>
            </w:tcBorders>
            <w:vAlign w:val="center"/>
            <w:hideMark/>
          </w:tcPr>
          <w:p w:rsidR="00FF162E" w:rsidRPr="00FF162E" w:rsidRDefault="00FF162E" w:rsidP="00FF162E">
            <w:pPr>
              <w:spacing w:after="0"/>
              <w:rPr>
                <w:rFonts w:ascii="Georgia" w:eastAsia="Times New Roman" w:hAnsi="Georgia" w:cs="Calibri"/>
                <w:b/>
                <w:bCs/>
                <w:sz w:val="18"/>
                <w:szCs w:val="18"/>
                <w:lang w:eastAsia="en-GB"/>
              </w:rPr>
            </w:pPr>
          </w:p>
        </w:tc>
        <w:tc>
          <w:tcPr>
            <w:tcW w:w="2070"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Other ongoing costs</w:t>
            </w:r>
          </w:p>
        </w:tc>
        <w:tc>
          <w:tcPr>
            <w:tcW w:w="744"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right"/>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4.53%</w:t>
            </w:r>
          </w:p>
        </w:tc>
        <w:tc>
          <w:tcPr>
            <w:tcW w:w="6646" w:type="dxa"/>
            <w:tcBorders>
              <w:top w:val="nil"/>
              <w:left w:val="nil"/>
              <w:bottom w:val="single" w:sz="4" w:space="0" w:color="5B9BD5"/>
              <w:right w:val="single" w:sz="4" w:space="0" w:color="5B9BD5"/>
            </w:tcBorders>
            <w:shd w:val="clear" w:color="000000" w:fill="FFFFFF"/>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The impact of the costs that are taken each year for managing your investments.</w:t>
            </w:r>
          </w:p>
        </w:tc>
      </w:tr>
      <w:tr w:rsidR="00FF162E" w:rsidRPr="00FF162E" w:rsidTr="00FF162E">
        <w:trPr>
          <w:trHeight w:val="540"/>
        </w:trPr>
        <w:tc>
          <w:tcPr>
            <w:tcW w:w="1167" w:type="dxa"/>
            <w:vMerge w:val="restart"/>
            <w:tcBorders>
              <w:top w:val="nil"/>
              <w:left w:val="single" w:sz="4" w:space="0" w:color="5B9BD5"/>
              <w:bottom w:val="single" w:sz="4" w:space="0" w:color="5B9BD5"/>
              <w:right w:val="single" w:sz="4" w:space="0" w:color="5B9BD5"/>
            </w:tcBorders>
            <w:shd w:val="clear" w:color="000000" w:fill="FFFFFF"/>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Incidental costs</w:t>
            </w:r>
          </w:p>
        </w:tc>
        <w:tc>
          <w:tcPr>
            <w:tcW w:w="2070"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Performance fees</w:t>
            </w:r>
          </w:p>
        </w:tc>
        <w:tc>
          <w:tcPr>
            <w:tcW w:w="744"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right"/>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1.60%</w:t>
            </w:r>
          </w:p>
        </w:tc>
        <w:tc>
          <w:tcPr>
            <w:tcW w:w="6646" w:type="dxa"/>
            <w:tcBorders>
              <w:top w:val="nil"/>
              <w:left w:val="nil"/>
              <w:bottom w:val="single" w:sz="4" w:space="0" w:color="5B9BD5"/>
              <w:right w:val="single" w:sz="4" w:space="0" w:color="5B9BD5"/>
            </w:tcBorders>
            <w:shd w:val="clear" w:color="000000" w:fill="FFFFFF"/>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The impact of the performance fee. Performance fees are taken from your investment if the product outperforms its benchmark.</w:t>
            </w:r>
          </w:p>
        </w:tc>
      </w:tr>
      <w:tr w:rsidR="00FF162E" w:rsidRPr="00FF162E" w:rsidTr="00FF162E">
        <w:trPr>
          <w:trHeight w:val="288"/>
        </w:trPr>
        <w:tc>
          <w:tcPr>
            <w:tcW w:w="1167" w:type="dxa"/>
            <w:vMerge/>
            <w:tcBorders>
              <w:top w:val="nil"/>
              <w:left w:val="single" w:sz="4" w:space="0" w:color="5B9BD5"/>
              <w:bottom w:val="single" w:sz="4" w:space="0" w:color="5B9BD5"/>
              <w:right w:val="single" w:sz="4" w:space="0" w:color="5B9BD5"/>
            </w:tcBorders>
            <w:vAlign w:val="center"/>
            <w:hideMark/>
          </w:tcPr>
          <w:p w:rsidR="00FF162E" w:rsidRPr="00FF162E" w:rsidRDefault="00FF162E" w:rsidP="00FF162E">
            <w:pPr>
              <w:spacing w:after="0"/>
              <w:rPr>
                <w:rFonts w:ascii="Georgia" w:eastAsia="Times New Roman" w:hAnsi="Georgia" w:cs="Calibri"/>
                <w:b/>
                <w:bCs/>
                <w:sz w:val="18"/>
                <w:szCs w:val="18"/>
                <w:lang w:eastAsia="en-GB"/>
              </w:rPr>
            </w:pPr>
          </w:p>
        </w:tc>
        <w:tc>
          <w:tcPr>
            <w:tcW w:w="2070"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Carried interests</w:t>
            </w:r>
          </w:p>
        </w:tc>
        <w:tc>
          <w:tcPr>
            <w:tcW w:w="744"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right"/>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0.00%</w:t>
            </w:r>
          </w:p>
        </w:tc>
        <w:tc>
          <w:tcPr>
            <w:tcW w:w="6646" w:type="dxa"/>
            <w:tcBorders>
              <w:top w:val="nil"/>
              <w:left w:val="nil"/>
              <w:bottom w:val="single" w:sz="4" w:space="0" w:color="5B9BD5"/>
              <w:right w:val="single" w:sz="4" w:space="0" w:color="5B9BD5"/>
            </w:tcBorders>
            <w:shd w:val="clear" w:color="000000" w:fill="FFFFFF"/>
            <w:noWrap/>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The impact of carried interests.</w:t>
            </w:r>
          </w:p>
        </w:tc>
      </w:tr>
    </w:tbl>
    <w:p w:rsidR="00F91E7C" w:rsidRPr="00F91E7C" w:rsidRDefault="00F91E7C" w:rsidP="00F91E7C"/>
    <w:p w:rsidR="00C255EC" w:rsidRDefault="00F91E7C" w:rsidP="00DC1205">
      <w:pPr>
        <w:pStyle w:val="Heading2"/>
        <w:spacing w:after="120"/>
      </w:pPr>
      <w:r>
        <w:rPr>
          <w:noProof/>
          <w:lang w:eastAsia="en-GB"/>
        </w:rPr>
        <mc:AlternateContent>
          <mc:Choice Requires="wps">
            <w:drawing>
              <wp:anchor distT="45720" distB="45720" distL="114300" distR="114300" simplePos="0" relativeHeight="251659264" behindDoc="0" locked="0" layoutInCell="1" allowOverlap="1" wp14:anchorId="23D5BA19" wp14:editId="5951218E">
                <wp:simplePos x="0" y="0"/>
                <wp:positionH relativeFrom="column">
                  <wp:posOffset>5715</wp:posOffset>
                </wp:positionH>
                <wp:positionV relativeFrom="paragraph">
                  <wp:posOffset>227965</wp:posOffset>
                </wp:positionV>
                <wp:extent cx="6758940" cy="30099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300990"/>
                        </a:xfrm>
                        <a:prstGeom prst="rect">
                          <a:avLst/>
                        </a:prstGeom>
                        <a:solidFill>
                          <a:schemeClr val="accent1"/>
                        </a:solidFill>
                        <a:ln w="9525">
                          <a:solidFill>
                            <a:schemeClr val="accent1"/>
                          </a:solidFill>
                          <a:miter lim="800000"/>
                          <a:headEnd/>
                          <a:tailEnd/>
                        </a:ln>
                      </wps:spPr>
                      <wps:txbx>
                        <w:txbxContent>
                          <w:p w:rsidR="00F91E7C" w:rsidRPr="00F91E7C" w:rsidRDefault="00F91E7C" w:rsidP="00F91E7C">
                            <w:pPr>
                              <w:pStyle w:val="Heading1"/>
                              <w:ind w:left="2160" w:firstLine="720"/>
                            </w:pPr>
                            <w:r w:rsidRPr="00F91E7C">
                              <w:t>Recommended Holding Period: Five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D5BA19" id="_x0000_t202" coordsize="21600,21600" o:spt="202" path="m,l,21600r21600,l21600,xe">
                <v:stroke joinstyle="miter"/>
                <v:path gradientshapeok="t" o:connecttype="rect"/>
              </v:shapetype>
              <v:shape id="Text Box 2" o:spid="_x0000_s1026" type="#_x0000_t202" style="position:absolute;margin-left:.45pt;margin-top:17.95pt;width:532.2pt;height:2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" fillcolor="#5b9bd5 [3204]" strokecolor="#5b9bd5 [3204]">
                <v:textbox>
                  <w:txbxContent>
                    <w:p w:rsidR="00F91E7C" w:rsidRPr="00F91E7C" w:rsidRDefault="00F91E7C" w:rsidP="00F91E7C">
                      <w:pPr>
                        <w:pStyle w:val="Heading1"/>
                        <w:ind w:left="2160" w:firstLine="720"/>
                      </w:pPr>
                      <w:r w:rsidRPr="00F91E7C">
                        <w:t>Recommended Holding Period: Five Years</w:t>
                      </w:r>
                    </w:p>
                  </w:txbxContent>
                </v:textbox>
                <w10:wrap type="square"/>
              </v:shape>
            </w:pict>
          </mc:Fallback>
        </mc:AlternateContent>
      </w:r>
      <w:r w:rsidR="00DC1205" w:rsidRPr="00DC1205">
        <w:t>How long should I hold it and can I take money out early?</w:t>
      </w:r>
    </w:p>
    <w:p w:rsidR="00F91E7C" w:rsidRDefault="00F91E7C" w:rsidP="00F91E7C">
      <w:pPr>
        <w:rPr>
          <w:sz w:val="19"/>
          <w:szCs w:val="19"/>
        </w:rPr>
      </w:pPr>
      <w:r w:rsidRPr="00E53A77">
        <w:rPr>
          <w:sz w:val="19"/>
          <w:szCs w:val="19"/>
        </w:rPr>
        <w:t>Listed private equity funds are designed to be long term investments and the returns from them can be volatile during their life.  With limited exceptions, a five year investment horizon is the minimum period recommended by LPEQ, the trade body for listed private equity funds. As JZCP's shares are listed on the London Stock Exchange’s Specialist Fund Segment, you can expect to sell them at any time through your bank or stockbroker.</w:t>
      </w:r>
    </w:p>
    <w:p w:rsidR="00F91E7C" w:rsidRPr="00E53A77" w:rsidRDefault="00F91E7C" w:rsidP="00F91E7C">
      <w:pPr>
        <w:spacing w:after="40"/>
        <w:rPr>
          <w:sz w:val="19"/>
          <w:szCs w:val="19"/>
        </w:rPr>
      </w:pPr>
      <w:r w:rsidRPr="00E53A77">
        <w:rPr>
          <w:sz w:val="19"/>
          <w:szCs w:val="19"/>
        </w:rPr>
        <w:t>The product can be bought and sold through the London Stock Exchange’s Specialist Fund Segment. The price that you can deal at may not be the same as the net asset value of the under</w:t>
      </w:r>
      <w:r>
        <w:rPr>
          <w:sz w:val="19"/>
          <w:szCs w:val="19"/>
        </w:rPr>
        <w:t xml:space="preserve">lying investments per share of </w:t>
      </w:r>
      <w:r w:rsidRPr="00E53A77">
        <w:rPr>
          <w:sz w:val="19"/>
          <w:szCs w:val="19"/>
        </w:rPr>
        <w:t>JZCP. If you choose to sell your shares, you will pay the dealing costs your bank or stockbroker charge and will sell at the bid price available when your sale instruction is processed on the market.</w:t>
      </w:r>
    </w:p>
    <w:p w:rsidR="00DC1205" w:rsidRDefault="00DC1205" w:rsidP="00DC1205"/>
    <w:p w:rsidR="00DC1205" w:rsidRDefault="00DC1205" w:rsidP="00DC1205">
      <w:pPr>
        <w:pStyle w:val="Heading2"/>
        <w:spacing w:after="120"/>
      </w:pPr>
      <w:r>
        <w:t>How can I complain?</w:t>
      </w:r>
    </w:p>
    <w:p w:rsidR="00F91E7C" w:rsidRPr="00E53A77" w:rsidRDefault="00F91E7C" w:rsidP="00F91E7C">
      <w:pPr>
        <w:spacing w:afterLines="40" w:after="96"/>
        <w:rPr>
          <w:sz w:val="19"/>
          <w:szCs w:val="19"/>
        </w:rPr>
      </w:pPr>
      <w:r w:rsidRPr="00E53A77">
        <w:rPr>
          <w:sz w:val="19"/>
          <w:szCs w:val="19"/>
        </w:rPr>
        <w:t>If you have any complaints about the product, or about the conduct of JZCP or the person advising on or selling the product, you may lodge your complaint in one of three ways:</w:t>
      </w:r>
    </w:p>
    <w:p w:rsidR="00F91E7C" w:rsidRPr="009A0261" w:rsidRDefault="00F91E7C" w:rsidP="00F91E7C">
      <w:pPr>
        <w:pStyle w:val="ListParagraph"/>
        <w:numPr>
          <w:ilvl w:val="0"/>
          <w:numId w:val="20"/>
        </w:numPr>
        <w:spacing w:afterLines="40" w:after="96"/>
        <w:ind w:hanging="720"/>
        <w:rPr>
          <w:sz w:val="19"/>
          <w:szCs w:val="19"/>
        </w:rPr>
      </w:pPr>
      <w:r w:rsidRPr="00E53A77">
        <w:rPr>
          <w:sz w:val="19"/>
          <w:szCs w:val="19"/>
        </w:rPr>
        <w:t xml:space="preserve">You may log your complaint via our website </w:t>
      </w:r>
      <w:hyperlink r:id="rId10" w:history="1">
        <w:r w:rsidRPr="008F1FEB">
          <w:rPr>
            <w:rStyle w:val="Hyperlink"/>
            <w:sz w:val="19"/>
            <w:szCs w:val="19"/>
          </w:rPr>
          <w:t>www.jzcp.com</w:t>
        </w:r>
      </w:hyperlink>
      <w:r w:rsidRPr="009A0261">
        <w:rPr>
          <w:sz w:val="19"/>
          <w:szCs w:val="19"/>
        </w:rPr>
        <w:t>.</w:t>
      </w:r>
    </w:p>
    <w:p w:rsidR="00F91E7C" w:rsidRPr="009A0261" w:rsidRDefault="00F91E7C" w:rsidP="00F91E7C">
      <w:pPr>
        <w:pStyle w:val="ListParagraph"/>
        <w:numPr>
          <w:ilvl w:val="0"/>
          <w:numId w:val="20"/>
        </w:numPr>
        <w:spacing w:afterLines="40" w:after="96"/>
        <w:ind w:hanging="720"/>
        <w:rPr>
          <w:sz w:val="19"/>
          <w:szCs w:val="19"/>
          <w:lang w:val="en-US"/>
        </w:rPr>
      </w:pPr>
      <w:r w:rsidRPr="009A0261">
        <w:rPr>
          <w:sz w:val="19"/>
          <w:szCs w:val="19"/>
        </w:rPr>
        <w:t xml:space="preserve">You may send your complaint by email to JZCP’s administrator Northern Trust International Fund Administration Services (Guernsey) Limited at </w:t>
      </w:r>
      <w:hyperlink r:id="rId11" w:history="1">
        <w:r w:rsidRPr="009A0261">
          <w:rPr>
            <w:rStyle w:val="Hyperlink"/>
            <w:sz w:val="19"/>
            <w:szCs w:val="19"/>
            <w:lang w:val="en-US"/>
          </w:rPr>
          <w:t>GSY_Board_Relationship_Team@ntrs.com</w:t>
        </w:r>
      </w:hyperlink>
      <w:r>
        <w:rPr>
          <w:sz w:val="19"/>
          <w:szCs w:val="19"/>
          <w:lang w:val="en-US"/>
        </w:rPr>
        <w:t>.</w:t>
      </w:r>
    </w:p>
    <w:p w:rsidR="00F91E7C" w:rsidRPr="00E53A77" w:rsidRDefault="00F91E7C" w:rsidP="00F91E7C">
      <w:pPr>
        <w:pStyle w:val="ListParagraph"/>
        <w:numPr>
          <w:ilvl w:val="0"/>
          <w:numId w:val="20"/>
        </w:numPr>
        <w:spacing w:afterLines="40" w:after="96"/>
        <w:ind w:hanging="720"/>
        <w:rPr>
          <w:sz w:val="19"/>
          <w:szCs w:val="19"/>
        </w:rPr>
      </w:pPr>
      <w:r w:rsidRPr="00E53A77">
        <w:rPr>
          <w:sz w:val="19"/>
          <w:szCs w:val="19"/>
        </w:rPr>
        <w:t>You may send your complaint in writing to JZ Capital Partners, PO Box 255, Trafalgar Court</w:t>
      </w:r>
      <w:r>
        <w:rPr>
          <w:sz w:val="19"/>
          <w:szCs w:val="19"/>
        </w:rPr>
        <w:t>,</w:t>
      </w:r>
      <w:r w:rsidRPr="00E53A77">
        <w:rPr>
          <w:sz w:val="19"/>
          <w:szCs w:val="19"/>
        </w:rPr>
        <w:t xml:space="preserve"> Les Banques, St Peter Port, Guernsey GY1 3QL.</w:t>
      </w:r>
    </w:p>
    <w:p w:rsidR="00F91E7C" w:rsidRDefault="00F91E7C" w:rsidP="00F91E7C">
      <w:pPr>
        <w:rPr>
          <w:sz w:val="19"/>
          <w:szCs w:val="19"/>
        </w:rPr>
      </w:pPr>
      <w:r w:rsidRPr="00E53A77">
        <w:rPr>
          <w:sz w:val="19"/>
          <w:szCs w:val="19"/>
        </w:rPr>
        <w:t xml:space="preserve">Complaints in relation to persons advising on or selling the </w:t>
      </w:r>
      <w:r>
        <w:rPr>
          <w:sz w:val="19"/>
          <w:szCs w:val="19"/>
        </w:rPr>
        <w:t>product</w:t>
      </w:r>
      <w:r w:rsidRPr="00E53A77">
        <w:rPr>
          <w:sz w:val="19"/>
          <w:szCs w:val="19"/>
        </w:rPr>
        <w:t xml:space="preserve"> who are in no way connected to </w:t>
      </w:r>
      <w:r>
        <w:rPr>
          <w:sz w:val="19"/>
          <w:szCs w:val="19"/>
        </w:rPr>
        <w:t>JZCP</w:t>
      </w:r>
      <w:r w:rsidRPr="00E53A77">
        <w:rPr>
          <w:sz w:val="19"/>
          <w:szCs w:val="19"/>
        </w:rPr>
        <w:t>, should be addressed to them in the first instance.</w:t>
      </w:r>
    </w:p>
    <w:p w:rsidR="00F23ACD" w:rsidRPr="00E53A77" w:rsidRDefault="00F23ACD" w:rsidP="00F91E7C">
      <w:pPr>
        <w:rPr>
          <w:sz w:val="19"/>
          <w:szCs w:val="19"/>
        </w:rPr>
      </w:pPr>
    </w:p>
    <w:p w:rsidR="00DC1205" w:rsidRDefault="00DC1205" w:rsidP="00DC1205">
      <w:pPr>
        <w:pStyle w:val="Heading2"/>
        <w:spacing w:after="120"/>
      </w:pPr>
      <w:bookmarkStart w:id="5" w:name="_Hlk503344782"/>
      <w:r w:rsidRPr="00DC1205">
        <w:t>Other relevant information</w:t>
      </w:r>
    </w:p>
    <w:p w:rsidR="00F91E7C" w:rsidRDefault="00F91E7C" w:rsidP="00F91E7C">
      <w:pPr>
        <w:rPr>
          <w:sz w:val="19"/>
          <w:szCs w:val="19"/>
        </w:rPr>
      </w:pPr>
      <w:r>
        <w:rPr>
          <w:sz w:val="19"/>
          <w:szCs w:val="19"/>
        </w:rPr>
        <w:t>JZCP</w:t>
      </w:r>
      <w:r w:rsidRPr="00E53A77">
        <w:rPr>
          <w:sz w:val="19"/>
          <w:szCs w:val="19"/>
        </w:rPr>
        <w:t xml:space="preserve"> are required to provide you with further documentation, such as JZCP's latest prospectus, annual and semi-annual reports. These </w:t>
      </w:r>
      <w:r w:rsidRPr="0065465B">
        <w:rPr>
          <w:sz w:val="18"/>
          <w:szCs w:val="19"/>
        </w:rPr>
        <w:t>documents</w:t>
      </w:r>
      <w:r w:rsidRPr="00E53A77">
        <w:rPr>
          <w:sz w:val="19"/>
          <w:szCs w:val="19"/>
        </w:rPr>
        <w:t xml:space="preserve"> and other information relating to JZCP are available online at </w:t>
      </w:r>
      <w:hyperlink r:id="rId12" w:history="1">
        <w:r w:rsidRPr="008F1FEB">
          <w:rPr>
            <w:rStyle w:val="Hyperlink"/>
            <w:sz w:val="19"/>
            <w:szCs w:val="19"/>
          </w:rPr>
          <w:t>www.jzcp.com</w:t>
        </w:r>
      </w:hyperlink>
      <w:r w:rsidRPr="00725167">
        <w:rPr>
          <w:sz w:val="19"/>
          <w:szCs w:val="19"/>
        </w:rPr>
        <w:t>.</w:t>
      </w:r>
    </w:p>
    <w:p w:rsidR="00D852D3" w:rsidRDefault="00D852D3" w:rsidP="00F91E7C">
      <w:pPr>
        <w:rPr>
          <w:sz w:val="19"/>
          <w:szCs w:val="19"/>
        </w:rPr>
      </w:pPr>
      <w:bookmarkStart w:id="6" w:name="_Hlk500848437"/>
      <w:r>
        <w:rPr>
          <w:sz w:val="19"/>
          <w:szCs w:val="19"/>
        </w:rPr>
        <w:t>The cost, performance and risk calculations included in this KID are based on methodologies prescribed by EU rules.</w:t>
      </w:r>
    </w:p>
    <w:p w:rsidR="00D852D3" w:rsidRDefault="00D852D3" w:rsidP="00F91E7C">
      <w:pPr>
        <w:rPr>
          <w:sz w:val="19"/>
          <w:szCs w:val="19"/>
        </w:rPr>
      </w:pPr>
      <w:r>
        <w:rPr>
          <w:sz w:val="19"/>
          <w:szCs w:val="19"/>
        </w:rPr>
        <w:t>The Other Ongoing Charges on the Composition of Costs Table</w:t>
      </w:r>
      <w:r w:rsidR="00DF58A4">
        <w:rPr>
          <w:sz w:val="19"/>
          <w:szCs w:val="19"/>
        </w:rPr>
        <w:t>,</w:t>
      </w:r>
      <w:r>
        <w:rPr>
          <w:sz w:val="19"/>
          <w:szCs w:val="19"/>
        </w:rPr>
        <w:t xml:space="preserve"> </w:t>
      </w:r>
      <w:r w:rsidR="00F23ACD">
        <w:rPr>
          <w:sz w:val="19"/>
          <w:szCs w:val="19"/>
        </w:rPr>
        <w:t>representing 4.53% of JZCP’s net asset value</w:t>
      </w:r>
      <w:r w:rsidR="00DF58A4">
        <w:rPr>
          <w:sz w:val="19"/>
          <w:szCs w:val="19"/>
        </w:rPr>
        <w:t>,</w:t>
      </w:r>
      <w:r w:rsidR="00F23ACD">
        <w:rPr>
          <w:sz w:val="19"/>
          <w:szCs w:val="19"/>
        </w:rPr>
        <w:t xml:space="preserve"> </w:t>
      </w:r>
      <w:r w:rsidR="00E06443">
        <w:rPr>
          <w:sz w:val="19"/>
          <w:szCs w:val="19"/>
        </w:rPr>
        <w:t xml:space="preserve">is </w:t>
      </w:r>
      <w:r>
        <w:rPr>
          <w:sz w:val="19"/>
          <w:szCs w:val="19"/>
        </w:rPr>
        <w:t>comprise</w:t>
      </w:r>
      <w:r w:rsidR="00E06443">
        <w:rPr>
          <w:sz w:val="19"/>
          <w:szCs w:val="19"/>
        </w:rPr>
        <w:t>d of</w:t>
      </w:r>
      <w:r>
        <w:rPr>
          <w:sz w:val="19"/>
          <w:szCs w:val="19"/>
        </w:rPr>
        <w:t>: Investment Adviser’s fee</w:t>
      </w:r>
      <w:r w:rsidR="00F23ACD">
        <w:rPr>
          <w:sz w:val="19"/>
          <w:szCs w:val="19"/>
        </w:rPr>
        <w:t xml:space="preserve"> </w:t>
      </w:r>
      <w:r>
        <w:rPr>
          <w:sz w:val="19"/>
          <w:szCs w:val="19"/>
        </w:rPr>
        <w:t xml:space="preserve">1.97%, </w:t>
      </w:r>
      <w:r w:rsidR="00F23ACD">
        <w:rPr>
          <w:sz w:val="19"/>
          <w:szCs w:val="19"/>
        </w:rPr>
        <w:t>f</w:t>
      </w:r>
      <w:r>
        <w:rPr>
          <w:sz w:val="19"/>
          <w:szCs w:val="19"/>
        </w:rPr>
        <w:t xml:space="preserve">inance </w:t>
      </w:r>
      <w:r w:rsidR="00F23ACD">
        <w:rPr>
          <w:sz w:val="19"/>
          <w:szCs w:val="19"/>
        </w:rPr>
        <w:t>c</w:t>
      </w:r>
      <w:r>
        <w:rPr>
          <w:sz w:val="19"/>
          <w:szCs w:val="19"/>
        </w:rPr>
        <w:t>osts</w:t>
      </w:r>
      <w:r w:rsidR="00F23ACD">
        <w:rPr>
          <w:sz w:val="19"/>
          <w:szCs w:val="19"/>
        </w:rPr>
        <w:t xml:space="preserve"> 1.84%</w:t>
      </w:r>
      <w:r>
        <w:rPr>
          <w:sz w:val="19"/>
          <w:szCs w:val="19"/>
        </w:rPr>
        <w:t xml:space="preserve">, </w:t>
      </w:r>
      <w:r w:rsidR="00F23ACD">
        <w:rPr>
          <w:sz w:val="19"/>
          <w:szCs w:val="19"/>
        </w:rPr>
        <w:t>c</w:t>
      </w:r>
      <w:r>
        <w:rPr>
          <w:sz w:val="19"/>
          <w:szCs w:val="19"/>
        </w:rPr>
        <w:t>osts relating to underlying funds</w:t>
      </w:r>
      <w:r w:rsidR="00F23ACD">
        <w:rPr>
          <w:sz w:val="19"/>
          <w:szCs w:val="19"/>
        </w:rPr>
        <w:t xml:space="preserve"> 0.43%</w:t>
      </w:r>
      <w:r>
        <w:rPr>
          <w:sz w:val="19"/>
          <w:szCs w:val="19"/>
        </w:rPr>
        <w:t xml:space="preserve"> and other expenses </w:t>
      </w:r>
      <w:r w:rsidR="00F23ACD">
        <w:rPr>
          <w:sz w:val="19"/>
          <w:szCs w:val="19"/>
        </w:rPr>
        <w:t>0.29%.</w:t>
      </w:r>
    </w:p>
    <w:p w:rsidR="00C255EC" w:rsidRDefault="00F91E7C" w:rsidP="00C255EC">
      <w:r w:rsidRPr="00EA1648">
        <w:rPr>
          <w:sz w:val="19"/>
          <w:szCs w:val="19"/>
        </w:rPr>
        <w:t>Depending on how you buy these shares you may incur other costs, including broker commission, platform fees and Stamp Duty. The distributor will provide you with additional documents where necessary</w:t>
      </w:r>
      <w:r>
        <w:rPr>
          <w:sz w:val="19"/>
          <w:szCs w:val="19"/>
        </w:rPr>
        <w:t>.</w:t>
      </w:r>
      <w:bookmarkEnd w:id="0"/>
      <w:bookmarkEnd w:id="4"/>
      <w:bookmarkEnd w:id="6"/>
    </w:p>
    <w:bookmarkEnd w:id="5"/>
    <w:p w:rsidR="00CD0445" w:rsidRDefault="00CD0445" w:rsidP="00575425">
      <w:pPr>
        <w:sectPr w:rsidR="00CD0445" w:rsidSect="00AA32CA">
          <w:headerReference w:type="default" r:id="rId13"/>
          <w:pgSz w:w="11906" w:h="16838"/>
          <w:pgMar w:top="567" w:right="567" w:bottom="567" w:left="567" w:header="709" w:footer="709" w:gutter="0"/>
          <w:cols w:space="708"/>
          <w:docGrid w:linePitch="360"/>
        </w:sectPr>
      </w:pPr>
    </w:p>
    <w:p w:rsidR="00236C52" w:rsidRDefault="00236C52" w:rsidP="00FF162E">
      <w:pPr>
        <w:pStyle w:val="BasicParagraph"/>
        <w:suppressAutoHyphens/>
        <w:spacing w:line="240" w:lineRule="auto"/>
        <w:rPr>
          <w:rFonts w:ascii="Georgia" w:hAnsi="Georgia" w:cs="Georgia"/>
          <w:color w:val="35668F"/>
          <w:sz w:val="15"/>
          <w:szCs w:val="15"/>
          <w:u w:color="008B98"/>
        </w:rPr>
      </w:pPr>
    </w:p>
    <w:sectPr w:rsidR="00236C52" w:rsidSect="00550EFF">
      <w:type w:val="continuous"/>
      <w:pgSz w:w="11906" w:h="16838"/>
      <w:pgMar w:top="567" w:right="567" w:bottom="567" w:left="567"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3A" w:rsidRDefault="00F9193A" w:rsidP="00AA32CA">
      <w:pPr>
        <w:spacing w:after="0"/>
      </w:pPr>
      <w:r>
        <w:separator/>
      </w:r>
    </w:p>
  </w:endnote>
  <w:endnote w:type="continuationSeparator" w:id="0">
    <w:p w:rsidR="00F9193A" w:rsidRDefault="00F9193A" w:rsidP="00AA32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rif72Beta-Italic">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Italic">
    <w:altName w:val="Minion Pro"/>
    <w:panose1 w:val="02040502050405090303"/>
    <w:charset w:val="00"/>
    <w:family w:val="auto"/>
    <w:pitch w:val="variable"/>
    <w:sig w:usb0="00000287" w:usb1="00000000" w:usb2="00000000" w:usb3="00000000" w:csb0="0000009F" w:csb1="00000000"/>
  </w:font>
  <w:font w:name="Georgia-Italic">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3A" w:rsidRDefault="00F9193A" w:rsidP="00AA32CA">
      <w:pPr>
        <w:spacing w:after="0"/>
      </w:pPr>
      <w:r>
        <w:separator/>
      </w:r>
    </w:p>
  </w:footnote>
  <w:footnote w:type="continuationSeparator" w:id="0">
    <w:p w:rsidR="00F9193A" w:rsidRDefault="00F9193A" w:rsidP="00AA32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CA" w:rsidRDefault="00AA32CA" w:rsidP="00AA32CA">
    <w:pPr>
      <w:pStyle w:val="Title"/>
    </w:pPr>
    <w:r w:rsidRPr="00AA32CA">
      <w:rPr>
        <w:noProof/>
        <w:lang w:eastAsia="en-GB"/>
      </w:rPr>
      <w:drawing>
        <wp:anchor distT="0" distB="0" distL="114300" distR="114300" simplePos="0" relativeHeight="251659264" behindDoc="0" locked="1" layoutInCell="1" allowOverlap="1" wp14:anchorId="45EA6DEC" wp14:editId="4D87E3E8">
          <wp:simplePos x="0" y="0"/>
          <wp:positionH relativeFrom="column">
            <wp:posOffset>-49530</wp:posOffset>
          </wp:positionH>
          <wp:positionV relativeFrom="page">
            <wp:posOffset>328295</wp:posOffset>
          </wp:positionV>
          <wp:extent cx="2447925" cy="431800"/>
          <wp:effectExtent l="0" t="0" r="9525" b="6350"/>
          <wp:wrapSquare wrapText="bothSides"/>
          <wp:docPr id="7" name="Picture 1" descr="NEW LOGO Septembe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eptember 2012.JPG"/>
                  <pic:cNvPicPr/>
                </pic:nvPicPr>
                <pic:blipFill>
                  <a:blip r:embed="rId1"/>
                  <a:stretch>
                    <a:fillRect/>
                  </a:stretch>
                </pic:blipFill>
                <pic:spPr>
                  <a:xfrm>
                    <a:off x="0" y="0"/>
                    <a:ext cx="2447925" cy="431800"/>
                  </a:xfrm>
                  <a:prstGeom prst="rect">
                    <a:avLst/>
                  </a:prstGeom>
                </pic:spPr>
              </pic:pic>
            </a:graphicData>
          </a:graphic>
          <wp14:sizeRelH relativeFrom="margin">
            <wp14:pctWidth>0</wp14:pctWidth>
          </wp14:sizeRelH>
          <wp14:sizeRelV relativeFrom="margin">
            <wp14:pctHeight>0</wp14:pctHeight>
          </wp14:sizeRelV>
        </wp:anchor>
      </w:drawing>
    </w:r>
    <w:r w:rsidR="00C255EC">
      <w:t>Key Information Document (“KID”)</w:t>
    </w:r>
  </w:p>
  <w:p w:rsidR="00AA32CA" w:rsidRDefault="00AA32CA" w:rsidP="00C255EC">
    <w:pPr>
      <w:pStyle w:val="Subtitle"/>
      <w:tabs>
        <w:tab w:val="left" w:pos="7321"/>
        <w:tab w:val="right" w:pos="10765"/>
      </w:tabs>
      <w:jc w:val="left"/>
    </w:pPr>
    <w:r>
      <w:tab/>
    </w:r>
  </w:p>
  <w:p w:rsidR="00AA32CA" w:rsidRDefault="00AA32CA" w:rsidP="00A55842">
    <w:r>
      <w:rPr>
        <w:rFonts w:ascii="Georgia Italic" w:hAnsi="Georgia Italic" w:cs="Georgia-Italic"/>
        <w:i/>
        <w:iCs/>
        <w:noProof/>
        <w:color w:val="5480C0"/>
        <w:sz w:val="20"/>
        <w:szCs w:val="20"/>
        <w:u w:color="008B98"/>
        <w:lang w:eastAsia="en-GB"/>
      </w:rPr>
      <mc:AlternateContent>
        <mc:Choice Requires="wps">
          <w:drawing>
            <wp:anchor distT="4294967295" distB="4294967295" distL="114300" distR="114300" simplePos="0" relativeHeight="251661312" behindDoc="0" locked="0" layoutInCell="1" allowOverlap="1" wp14:anchorId="713F07B5" wp14:editId="1A178F16">
              <wp:simplePos x="0" y="0"/>
              <wp:positionH relativeFrom="column">
                <wp:posOffset>-1612</wp:posOffset>
              </wp:positionH>
              <wp:positionV relativeFrom="paragraph">
                <wp:posOffset>3468</wp:posOffset>
              </wp:positionV>
              <wp:extent cx="6858000" cy="0"/>
              <wp:effectExtent l="89535" t="87630" r="100965" b="12827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A6A6A6"/>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031BE1"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5pt" to="53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" strokecolor="#a6a6a6" strokeweight=".25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CE8BD8C"/>
    <w:lvl w:ilvl="0">
      <w:start w:val="1"/>
      <w:numFmt w:val="decimal"/>
      <w:lvlText w:val="%1."/>
      <w:lvlJc w:val="left"/>
      <w:pPr>
        <w:tabs>
          <w:tab w:val="num" w:pos="1492"/>
        </w:tabs>
        <w:ind w:left="1492" w:hanging="360"/>
      </w:pPr>
    </w:lvl>
  </w:abstractNum>
  <w:abstractNum w:abstractNumId="1">
    <w:nsid w:val="FFFFFF7D"/>
    <w:multiLevelType w:val="singleLevel"/>
    <w:tmpl w:val="87847E00"/>
    <w:lvl w:ilvl="0">
      <w:start w:val="1"/>
      <w:numFmt w:val="decimal"/>
      <w:lvlText w:val="%1."/>
      <w:lvlJc w:val="left"/>
      <w:pPr>
        <w:tabs>
          <w:tab w:val="num" w:pos="1209"/>
        </w:tabs>
        <w:ind w:left="1209" w:hanging="360"/>
      </w:pPr>
    </w:lvl>
  </w:abstractNum>
  <w:abstractNum w:abstractNumId="2">
    <w:nsid w:val="FFFFFF7E"/>
    <w:multiLevelType w:val="singleLevel"/>
    <w:tmpl w:val="5A166858"/>
    <w:lvl w:ilvl="0">
      <w:start w:val="1"/>
      <w:numFmt w:val="decimal"/>
      <w:lvlText w:val="%1."/>
      <w:lvlJc w:val="left"/>
      <w:pPr>
        <w:tabs>
          <w:tab w:val="num" w:pos="926"/>
        </w:tabs>
        <w:ind w:left="926" w:hanging="360"/>
      </w:pPr>
    </w:lvl>
  </w:abstractNum>
  <w:abstractNum w:abstractNumId="3">
    <w:nsid w:val="FFFFFF7F"/>
    <w:multiLevelType w:val="singleLevel"/>
    <w:tmpl w:val="A2EE2394"/>
    <w:lvl w:ilvl="0">
      <w:start w:val="1"/>
      <w:numFmt w:val="decimal"/>
      <w:lvlText w:val="%1."/>
      <w:lvlJc w:val="left"/>
      <w:pPr>
        <w:tabs>
          <w:tab w:val="num" w:pos="643"/>
        </w:tabs>
        <w:ind w:left="643" w:hanging="360"/>
      </w:pPr>
    </w:lvl>
  </w:abstractNum>
  <w:abstractNum w:abstractNumId="4">
    <w:nsid w:val="FFFFFF80"/>
    <w:multiLevelType w:val="singleLevel"/>
    <w:tmpl w:val="0C52FB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CAB1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44FD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743D86"/>
    <w:lvl w:ilvl="0">
      <w:start w:val="1"/>
      <w:numFmt w:val="decimal"/>
      <w:lvlText w:val="%1."/>
      <w:lvlJc w:val="left"/>
      <w:pPr>
        <w:tabs>
          <w:tab w:val="num" w:pos="360"/>
        </w:tabs>
        <w:ind w:left="360" w:hanging="360"/>
      </w:pPr>
    </w:lvl>
  </w:abstractNum>
  <w:abstractNum w:abstractNumId="9">
    <w:nsid w:val="FFFFFF89"/>
    <w:multiLevelType w:val="singleLevel"/>
    <w:tmpl w:val="A2A887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0371F2"/>
    <w:multiLevelType w:val="hybridMultilevel"/>
    <w:tmpl w:val="1E7E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7C15F7"/>
    <w:multiLevelType w:val="hybridMultilevel"/>
    <w:tmpl w:val="12B02EAA"/>
    <w:lvl w:ilvl="0" w:tplc="ADAADA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B3125"/>
    <w:multiLevelType w:val="hybridMultilevel"/>
    <w:tmpl w:val="3A543690"/>
    <w:lvl w:ilvl="0" w:tplc="7F66146A">
      <w:start w:val="1"/>
      <w:numFmt w:val="bullet"/>
      <w:pStyle w:val="Bodybullets"/>
      <w:lvlText w:val=""/>
      <w:lvlJc w:val="left"/>
      <w:pPr>
        <w:tabs>
          <w:tab w:val="num" w:pos="170"/>
        </w:tabs>
        <w:ind w:left="170" w:hanging="170"/>
      </w:pPr>
      <w:rPr>
        <w:rFonts w:ascii="Symbol" w:hAnsi="Symbol" w:hint="default"/>
        <w:color w:val="8496B0" w:themeColor="text2" w:themeTint="99"/>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nsid w:val="38247CD8"/>
    <w:multiLevelType w:val="hybridMultilevel"/>
    <w:tmpl w:val="69D441F0"/>
    <w:lvl w:ilvl="0" w:tplc="F06855C2">
      <w:start w:val="1"/>
      <w:numFmt w:val="bullet"/>
      <w:lvlText w:val=""/>
      <w:lvlJc w:val="left"/>
      <w:pPr>
        <w:ind w:left="2912"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6F3F25"/>
    <w:multiLevelType w:val="hybridMultilevel"/>
    <w:tmpl w:val="C2502524"/>
    <w:lvl w:ilvl="0" w:tplc="A7D299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BA4C82"/>
    <w:multiLevelType w:val="hybridMultilevel"/>
    <w:tmpl w:val="BE5A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FA5592"/>
    <w:multiLevelType w:val="hybridMultilevel"/>
    <w:tmpl w:val="160C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9287EFA"/>
    <w:multiLevelType w:val="hybridMultilevel"/>
    <w:tmpl w:val="FDEC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9"/>
  </w:num>
  <w:num w:numId="15">
    <w:abstractNumId w:val="16"/>
  </w:num>
  <w:num w:numId="16">
    <w:abstractNumId w:val="9"/>
  </w:num>
  <w:num w:numId="17">
    <w:abstractNumId w:val="9"/>
  </w:num>
  <w:num w:numId="18">
    <w:abstractNumId w:val="10"/>
  </w:num>
  <w:num w:numId="19">
    <w:abstractNumId w:val="13"/>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CA"/>
    <w:rsid w:val="000062AF"/>
    <w:rsid w:val="000159B0"/>
    <w:rsid w:val="00027BCA"/>
    <w:rsid w:val="00031F30"/>
    <w:rsid w:val="000368E6"/>
    <w:rsid w:val="00037F60"/>
    <w:rsid w:val="00042E34"/>
    <w:rsid w:val="00047294"/>
    <w:rsid w:val="0005432C"/>
    <w:rsid w:val="00081528"/>
    <w:rsid w:val="00086DD2"/>
    <w:rsid w:val="000A2808"/>
    <w:rsid w:val="000B0976"/>
    <w:rsid w:val="000B1247"/>
    <w:rsid w:val="000B6E7C"/>
    <w:rsid w:val="000C1212"/>
    <w:rsid w:val="000C7541"/>
    <w:rsid w:val="000D1770"/>
    <w:rsid w:val="000D2199"/>
    <w:rsid w:val="000E08EA"/>
    <w:rsid w:val="000E3996"/>
    <w:rsid w:val="000E609B"/>
    <w:rsid w:val="00107B01"/>
    <w:rsid w:val="00117444"/>
    <w:rsid w:val="00147E42"/>
    <w:rsid w:val="00150757"/>
    <w:rsid w:val="00167F00"/>
    <w:rsid w:val="00170D65"/>
    <w:rsid w:val="0017196A"/>
    <w:rsid w:val="001738E3"/>
    <w:rsid w:val="00176F36"/>
    <w:rsid w:val="00193260"/>
    <w:rsid w:val="001A2054"/>
    <w:rsid w:val="001A55F4"/>
    <w:rsid w:val="001B105D"/>
    <w:rsid w:val="001B1A0C"/>
    <w:rsid w:val="001B1ACF"/>
    <w:rsid w:val="001B1E44"/>
    <w:rsid w:val="001C74E8"/>
    <w:rsid w:val="001D639D"/>
    <w:rsid w:val="001E5B9E"/>
    <w:rsid w:val="001F0B89"/>
    <w:rsid w:val="002050F0"/>
    <w:rsid w:val="00217EE1"/>
    <w:rsid w:val="00220E4F"/>
    <w:rsid w:val="00227220"/>
    <w:rsid w:val="00233694"/>
    <w:rsid w:val="00236C52"/>
    <w:rsid w:val="00237971"/>
    <w:rsid w:val="00246287"/>
    <w:rsid w:val="00246BF1"/>
    <w:rsid w:val="00256A01"/>
    <w:rsid w:val="00256DDB"/>
    <w:rsid w:val="00262DE1"/>
    <w:rsid w:val="0026329D"/>
    <w:rsid w:val="002733F4"/>
    <w:rsid w:val="002739B5"/>
    <w:rsid w:val="00275AEC"/>
    <w:rsid w:val="00286703"/>
    <w:rsid w:val="0029044D"/>
    <w:rsid w:val="002978F3"/>
    <w:rsid w:val="002A6A1F"/>
    <w:rsid w:val="002A734E"/>
    <w:rsid w:val="002B0D4C"/>
    <w:rsid w:val="002C5750"/>
    <w:rsid w:val="002C6B23"/>
    <w:rsid w:val="002F036D"/>
    <w:rsid w:val="002F1B1C"/>
    <w:rsid w:val="003238D1"/>
    <w:rsid w:val="00347CC5"/>
    <w:rsid w:val="003512C9"/>
    <w:rsid w:val="003620B3"/>
    <w:rsid w:val="003731D5"/>
    <w:rsid w:val="003814AA"/>
    <w:rsid w:val="00395006"/>
    <w:rsid w:val="003B0D68"/>
    <w:rsid w:val="003B5417"/>
    <w:rsid w:val="003C0D05"/>
    <w:rsid w:val="003C4B76"/>
    <w:rsid w:val="003C51F0"/>
    <w:rsid w:val="003D1E45"/>
    <w:rsid w:val="003D6233"/>
    <w:rsid w:val="003F0FE5"/>
    <w:rsid w:val="003F4D8E"/>
    <w:rsid w:val="00412D26"/>
    <w:rsid w:val="00414002"/>
    <w:rsid w:val="0041617E"/>
    <w:rsid w:val="0042648A"/>
    <w:rsid w:val="0042773A"/>
    <w:rsid w:val="0043058F"/>
    <w:rsid w:val="0044036D"/>
    <w:rsid w:val="004408B7"/>
    <w:rsid w:val="004432D6"/>
    <w:rsid w:val="00475B0A"/>
    <w:rsid w:val="0047761A"/>
    <w:rsid w:val="00487D7A"/>
    <w:rsid w:val="004911F3"/>
    <w:rsid w:val="004922EE"/>
    <w:rsid w:val="00493EE2"/>
    <w:rsid w:val="004A7B4C"/>
    <w:rsid w:val="004B1BF6"/>
    <w:rsid w:val="004B444E"/>
    <w:rsid w:val="004C1B2A"/>
    <w:rsid w:val="004D3DE1"/>
    <w:rsid w:val="004D5439"/>
    <w:rsid w:val="004E0539"/>
    <w:rsid w:val="004E5CB2"/>
    <w:rsid w:val="004E7B20"/>
    <w:rsid w:val="004F0ACB"/>
    <w:rsid w:val="00501F33"/>
    <w:rsid w:val="005177AA"/>
    <w:rsid w:val="005250BD"/>
    <w:rsid w:val="00530B01"/>
    <w:rsid w:val="005314F5"/>
    <w:rsid w:val="00532182"/>
    <w:rsid w:val="00533EAA"/>
    <w:rsid w:val="00534766"/>
    <w:rsid w:val="0053558C"/>
    <w:rsid w:val="0054592E"/>
    <w:rsid w:val="00550EFF"/>
    <w:rsid w:val="00557CAF"/>
    <w:rsid w:val="005746EA"/>
    <w:rsid w:val="0057497A"/>
    <w:rsid w:val="00575425"/>
    <w:rsid w:val="00582A72"/>
    <w:rsid w:val="00582CEE"/>
    <w:rsid w:val="00585186"/>
    <w:rsid w:val="00590015"/>
    <w:rsid w:val="005944FF"/>
    <w:rsid w:val="00595F3C"/>
    <w:rsid w:val="005A092E"/>
    <w:rsid w:val="005A183F"/>
    <w:rsid w:val="005A2828"/>
    <w:rsid w:val="005B30C4"/>
    <w:rsid w:val="005C18C9"/>
    <w:rsid w:val="005C5B15"/>
    <w:rsid w:val="005D11A6"/>
    <w:rsid w:val="005E36F1"/>
    <w:rsid w:val="005E3C6C"/>
    <w:rsid w:val="005E4493"/>
    <w:rsid w:val="005F6210"/>
    <w:rsid w:val="006025B8"/>
    <w:rsid w:val="00604124"/>
    <w:rsid w:val="00612D6E"/>
    <w:rsid w:val="00616E84"/>
    <w:rsid w:val="00630CE6"/>
    <w:rsid w:val="00634D8C"/>
    <w:rsid w:val="00641A1B"/>
    <w:rsid w:val="006503C2"/>
    <w:rsid w:val="0065516D"/>
    <w:rsid w:val="00655BAC"/>
    <w:rsid w:val="00656C03"/>
    <w:rsid w:val="00657CA3"/>
    <w:rsid w:val="0066621D"/>
    <w:rsid w:val="006B6533"/>
    <w:rsid w:val="006B74C1"/>
    <w:rsid w:val="006B7F72"/>
    <w:rsid w:val="006C1C41"/>
    <w:rsid w:val="006D5ACC"/>
    <w:rsid w:val="006E18AA"/>
    <w:rsid w:val="006F4689"/>
    <w:rsid w:val="007020BD"/>
    <w:rsid w:val="00710886"/>
    <w:rsid w:val="00720DFF"/>
    <w:rsid w:val="00721952"/>
    <w:rsid w:val="00725425"/>
    <w:rsid w:val="00731016"/>
    <w:rsid w:val="00735C05"/>
    <w:rsid w:val="00737C88"/>
    <w:rsid w:val="00744659"/>
    <w:rsid w:val="00766436"/>
    <w:rsid w:val="00781840"/>
    <w:rsid w:val="00784F06"/>
    <w:rsid w:val="00797CCE"/>
    <w:rsid w:val="007A066E"/>
    <w:rsid w:val="007B6584"/>
    <w:rsid w:val="007B6976"/>
    <w:rsid w:val="007C46E1"/>
    <w:rsid w:val="007E568D"/>
    <w:rsid w:val="007E6F26"/>
    <w:rsid w:val="007F0E40"/>
    <w:rsid w:val="007F4B28"/>
    <w:rsid w:val="008051C6"/>
    <w:rsid w:val="0080682D"/>
    <w:rsid w:val="00811227"/>
    <w:rsid w:val="008117CB"/>
    <w:rsid w:val="00812758"/>
    <w:rsid w:val="00812B70"/>
    <w:rsid w:val="00821991"/>
    <w:rsid w:val="008314AD"/>
    <w:rsid w:val="00832655"/>
    <w:rsid w:val="0083488F"/>
    <w:rsid w:val="00834939"/>
    <w:rsid w:val="00842AA6"/>
    <w:rsid w:val="0085675B"/>
    <w:rsid w:val="00871264"/>
    <w:rsid w:val="008765B7"/>
    <w:rsid w:val="00880471"/>
    <w:rsid w:val="00883479"/>
    <w:rsid w:val="00884C1A"/>
    <w:rsid w:val="008A3DA8"/>
    <w:rsid w:val="008B7B85"/>
    <w:rsid w:val="008C400E"/>
    <w:rsid w:val="008C4753"/>
    <w:rsid w:val="008C4794"/>
    <w:rsid w:val="008C7615"/>
    <w:rsid w:val="008D1BB6"/>
    <w:rsid w:val="008E07E2"/>
    <w:rsid w:val="008E3FED"/>
    <w:rsid w:val="008E7489"/>
    <w:rsid w:val="008F382B"/>
    <w:rsid w:val="008F7DEC"/>
    <w:rsid w:val="00902904"/>
    <w:rsid w:val="009103F1"/>
    <w:rsid w:val="009209A4"/>
    <w:rsid w:val="0093184D"/>
    <w:rsid w:val="00942426"/>
    <w:rsid w:val="009434F0"/>
    <w:rsid w:val="00964A7B"/>
    <w:rsid w:val="00973037"/>
    <w:rsid w:val="00976410"/>
    <w:rsid w:val="009835ED"/>
    <w:rsid w:val="00986AB3"/>
    <w:rsid w:val="00990BE0"/>
    <w:rsid w:val="00990EDC"/>
    <w:rsid w:val="00992DCD"/>
    <w:rsid w:val="009A11B5"/>
    <w:rsid w:val="009A16B2"/>
    <w:rsid w:val="009B0D69"/>
    <w:rsid w:val="009B3099"/>
    <w:rsid w:val="009D34B1"/>
    <w:rsid w:val="009D476A"/>
    <w:rsid w:val="009E52E4"/>
    <w:rsid w:val="009F0E25"/>
    <w:rsid w:val="009F11EA"/>
    <w:rsid w:val="009F577F"/>
    <w:rsid w:val="00A1181A"/>
    <w:rsid w:val="00A24430"/>
    <w:rsid w:val="00A2572C"/>
    <w:rsid w:val="00A32124"/>
    <w:rsid w:val="00A32D9A"/>
    <w:rsid w:val="00A407C5"/>
    <w:rsid w:val="00A55842"/>
    <w:rsid w:val="00A62310"/>
    <w:rsid w:val="00A634B7"/>
    <w:rsid w:val="00A77C32"/>
    <w:rsid w:val="00A8480D"/>
    <w:rsid w:val="00A90174"/>
    <w:rsid w:val="00A903AB"/>
    <w:rsid w:val="00AA128C"/>
    <w:rsid w:val="00AA32CA"/>
    <w:rsid w:val="00AB46CE"/>
    <w:rsid w:val="00AD4C43"/>
    <w:rsid w:val="00AF166C"/>
    <w:rsid w:val="00AF2FE2"/>
    <w:rsid w:val="00B02E84"/>
    <w:rsid w:val="00B03BDC"/>
    <w:rsid w:val="00B0409D"/>
    <w:rsid w:val="00B15139"/>
    <w:rsid w:val="00B255AB"/>
    <w:rsid w:val="00B27BD4"/>
    <w:rsid w:val="00B30E98"/>
    <w:rsid w:val="00B34E73"/>
    <w:rsid w:val="00B40E89"/>
    <w:rsid w:val="00B62274"/>
    <w:rsid w:val="00B67E81"/>
    <w:rsid w:val="00B70A7A"/>
    <w:rsid w:val="00B73C86"/>
    <w:rsid w:val="00B74739"/>
    <w:rsid w:val="00B75EC5"/>
    <w:rsid w:val="00B94A85"/>
    <w:rsid w:val="00BB43B4"/>
    <w:rsid w:val="00BB476C"/>
    <w:rsid w:val="00BB5851"/>
    <w:rsid w:val="00BB5869"/>
    <w:rsid w:val="00BC238F"/>
    <w:rsid w:val="00BD212C"/>
    <w:rsid w:val="00BD5743"/>
    <w:rsid w:val="00BF1841"/>
    <w:rsid w:val="00BF6184"/>
    <w:rsid w:val="00C00E89"/>
    <w:rsid w:val="00C12D26"/>
    <w:rsid w:val="00C135CF"/>
    <w:rsid w:val="00C15731"/>
    <w:rsid w:val="00C16543"/>
    <w:rsid w:val="00C17E92"/>
    <w:rsid w:val="00C22397"/>
    <w:rsid w:val="00C255EC"/>
    <w:rsid w:val="00C325AE"/>
    <w:rsid w:val="00C367DB"/>
    <w:rsid w:val="00C46DB9"/>
    <w:rsid w:val="00C5782F"/>
    <w:rsid w:val="00C91A5C"/>
    <w:rsid w:val="00C93C5E"/>
    <w:rsid w:val="00C950F7"/>
    <w:rsid w:val="00CA4610"/>
    <w:rsid w:val="00CA6DC9"/>
    <w:rsid w:val="00CB01D5"/>
    <w:rsid w:val="00CB10E3"/>
    <w:rsid w:val="00CB7115"/>
    <w:rsid w:val="00CC145B"/>
    <w:rsid w:val="00CD0445"/>
    <w:rsid w:val="00CD51C4"/>
    <w:rsid w:val="00CE5AE0"/>
    <w:rsid w:val="00CF3660"/>
    <w:rsid w:val="00CF3DED"/>
    <w:rsid w:val="00CF55BC"/>
    <w:rsid w:val="00CF636B"/>
    <w:rsid w:val="00D10171"/>
    <w:rsid w:val="00D14910"/>
    <w:rsid w:val="00D1542E"/>
    <w:rsid w:val="00D21B4B"/>
    <w:rsid w:val="00D47547"/>
    <w:rsid w:val="00D852D3"/>
    <w:rsid w:val="00D97D87"/>
    <w:rsid w:val="00DA4C3E"/>
    <w:rsid w:val="00DA5BB7"/>
    <w:rsid w:val="00DB0FB3"/>
    <w:rsid w:val="00DC1205"/>
    <w:rsid w:val="00DC223C"/>
    <w:rsid w:val="00DD6867"/>
    <w:rsid w:val="00DF58A4"/>
    <w:rsid w:val="00DF734D"/>
    <w:rsid w:val="00E011D2"/>
    <w:rsid w:val="00E06443"/>
    <w:rsid w:val="00E36888"/>
    <w:rsid w:val="00E37C88"/>
    <w:rsid w:val="00E40A08"/>
    <w:rsid w:val="00E51CDE"/>
    <w:rsid w:val="00E6232F"/>
    <w:rsid w:val="00E661C6"/>
    <w:rsid w:val="00E719F7"/>
    <w:rsid w:val="00E91D58"/>
    <w:rsid w:val="00E963D9"/>
    <w:rsid w:val="00EA0481"/>
    <w:rsid w:val="00EE011F"/>
    <w:rsid w:val="00EE27B1"/>
    <w:rsid w:val="00F023A9"/>
    <w:rsid w:val="00F05B92"/>
    <w:rsid w:val="00F16BA8"/>
    <w:rsid w:val="00F23ACD"/>
    <w:rsid w:val="00F245DC"/>
    <w:rsid w:val="00F33BAA"/>
    <w:rsid w:val="00F370D8"/>
    <w:rsid w:val="00F45C88"/>
    <w:rsid w:val="00F472EC"/>
    <w:rsid w:val="00F51EEA"/>
    <w:rsid w:val="00F53D18"/>
    <w:rsid w:val="00F62D91"/>
    <w:rsid w:val="00F72E2B"/>
    <w:rsid w:val="00F81489"/>
    <w:rsid w:val="00F81762"/>
    <w:rsid w:val="00F9193A"/>
    <w:rsid w:val="00F91E7C"/>
    <w:rsid w:val="00F977F6"/>
    <w:rsid w:val="00FB241A"/>
    <w:rsid w:val="00FB5F0E"/>
    <w:rsid w:val="00FB63EB"/>
    <w:rsid w:val="00FC4BF9"/>
    <w:rsid w:val="00FC5FE1"/>
    <w:rsid w:val="00FE048B"/>
    <w:rsid w:val="00FE288C"/>
    <w:rsid w:val="00FE5CCB"/>
    <w:rsid w:val="00FF162E"/>
    <w:rsid w:val="00FF57C0"/>
    <w:rsid w:val="00FF6BD7"/>
    <w:rsid w:val="00FF7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A12411-4617-4086-AF8D-BBF5B17B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842"/>
    <w:pPr>
      <w:spacing w:after="120" w:line="240" w:lineRule="auto"/>
    </w:pPr>
    <w:rPr>
      <w:sz w:val="16"/>
    </w:rPr>
  </w:style>
  <w:style w:type="paragraph" w:styleId="Heading1">
    <w:name w:val="heading 1"/>
    <w:basedOn w:val="Normal"/>
    <w:next w:val="Normal"/>
    <w:link w:val="Heading1Char"/>
    <w:autoRedefine/>
    <w:qFormat/>
    <w:rsid w:val="00F91E7C"/>
    <w:pPr>
      <w:keepNext/>
      <w:keepLines/>
      <w:spacing w:after="40"/>
      <w:outlineLvl w:val="0"/>
    </w:pPr>
    <w:rPr>
      <w:rFonts w:ascii="Georgia" w:eastAsiaTheme="majorEastAsia" w:hAnsi="Georgia" w:cstheme="majorBidi"/>
      <w:b/>
      <w:color w:val="FFFFFF" w:themeColor="background1"/>
      <w:sz w:val="22"/>
      <w:lang w:eastAsia="ja-JP"/>
    </w:rPr>
  </w:style>
  <w:style w:type="paragraph" w:styleId="Heading2">
    <w:name w:val="heading 2"/>
    <w:basedOn w:val="Normal"/>
    <w:next w:val="Normal"/>
    <w:link w:val="Heading2Char"/>
    <w:uiPriority w:val="9"/>
    <w:unhideWhenUsed/>
    <w:qFormat/>
    <w:rsid w:val="0042648A"/>
    <w:pPr>
      <w:keepNext/>
      <w:keepLines/>
      <w:spacing w:before="40" w:after="0"/>
      <w:outlineLvl w:val="1"/>
    </w:pPr>
    <w:rPr>
      <w:rFonts w:asciiTheme="majorHAnsi" w:eastAsiaTheme="majorEastAsia" w:hAnsiTheme="majorHAnsi" w:cstheme="majorBidi"/>
      <w:b/>
      <w:color w:val="2E74B5"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32CA"/>
    <w:pPr>
      <w:spacing w:after="0"/>
      <w:contextualSpacing/>
      <w:jc w:val="right"/>
    </w:pPr>
    <w:rPr>
      <w:i/>
      <w:color w:val="5480C0"/>
      <w:sz w:val="20"/>
    </w:rPr>
  </w:style>
  <w:style w:type="character" w:customStyle="1" w:styleId="SubtitleChar">
    <w:name w:val="Subtitle Char"/>
    <w:basedOn w:val="DefaultParagraphFont"/>
    <w:link w:val="Subtitle"/>
    <w:uiPriority w:val="11"/>
    <w:rsid w:val="00AA32CA"/>
    <w:rPr>
      <w:i/>
      <w:color w:val="5480C0"/>
      <w:sz w:val="20"/>
    </w:rPr>
  </w:style>
  <w:style w:type="paragraph" w:styleId="Header">
    <w:name w:val="header"/>
    <w:basedOn w:val="Normal"/>
    <w:link w:val="HeaderChar"/>
    <w:uiPriority w:val="99"/>
    <w:unhideWhenUsed/>
    <w:rsid w:val="00AA32CA"/>
    <w:pPr>
      <w:tabs>
        <w:tab w:val="center" w:pos="4513"/>
        <w:tab w:val="right" w:pos="9026"/>
      </w:tabs>
      <w:spacing w:after="0"/>
    </w:pPr>
  </w:style>
  <w:style w:type="character" w:customStyle="1" w:styleId="HeaderChar">
    <w:name w:val="Header Char"/>
    <w:basedOn w:val="DefaultParagraphFont"/>
    <w:link w:val="Header"/>
    <w:uiPriority w:val="99"/>
    <w:rsid w:val="00AA32CA"/>
  </w:style>
  <w:style w:type="paragraph" w:styleId="Footer">
    <w:name w:val="footer"/>
    <w:basedOn w:val="Normal"/>
    <w:link w:val="FooterChar"/>
    <w:uiPriority w:val="99"/>
    <w:unhideWhenUsed/>
    <w:rsid w:val="00AA32CA"/>
    <w:pPr>
      <w:tabs>
        <w:tab w:val="center" w:pos="4513"/>
        <w:tab w:val="right" w:pos="9026"/>
      </w:tabs>
      <w:spacing w:after="0"/>
    </w:pPr>
  </w:style>
  <w:style w:type="character" w:customStyle="1" w:styleId="FooterChar">
    <w:name w:val="Footer Char"/>
    <w:basedOn w:val="DefaultParagraphFont"/>
    <w:link w:val="Footer"/>
    <w:uiPriority w:val="99"/>
    <w:rsid w:val="00AA32CA"/>
  </w:style>
  <w:style w:type="paragraph" w:styleId="Title">
    <w:name w:val="Title"/>
    <w:basedOn w:val="Normal"/>
    <w:next w:val="Normal"/>
    <w:link w:val="TitleChar"/>
    <w:uiPriority w:val="10"/>
    <w:qFormat/>
    <w:rsid w:val="00AA32CA"/>
    <w:pPr>
      <w:spacing w:after="0"/>
      <w:contextualSpacing/>
      <w:jc w:val="right"/>
    </w:pPr>
    <w:rPr>
      <w:rFonts w:asciiTheme="majorHAnsi" w:eastAsiaTheme="majorEastAsia" w:hAnsiTheme="majorHAnsi" w:cstheme="majorBidi"/>
      <w:i/>
      <w:color w:val="5480C0"/>
      <w:spacing w:val="-10"/>
      <w:kern w:val="28"/>
      <w:sz w:val="40"/>
      <w:szCs w:val="56"/>
    </w:rPr>
  </w:style>
  <w:style w:type="character" w:customStyle="1" w:styleId="TitleChar">
    <w:name w:val="Title Char"/>
    <w:basedOn w:val="DefaultParagraphFont"/>
    <w:link w:val="Title"/>
    <w:uiPriority w:val="10"/>
    <w:rsid w:val="00AA32CA"/>
    <w:rPr>
      <w:rFonts w:asciiTheme="majorHAnsi" w:eastAsiaTheme="majorEastAsia" w:hAnsiTheme="majorHAnsi" w:cstheme="majorBidi"/>
      <w:i/>
      <w:color w:val="5480C0"/>
      <w:spacing w:val="-10"/>
      <w:kern w:val="28"/>
      <w:sz w:val="40"/>
      <w:szCs w:val="56"/>
    </w:rPr>
  </w:style>
  <w:style w:type="character" w:styleId="Hyperlink">
    <w:name w:val="Hyperlink"/>
    <w:basedOn w:val="DefaultParagraphFont"/>
    <w:uiPriority w:val="99"/>
    <w:unhideWhenUsed/>
    <w:rsid w:val="00AA32CA"/>
    <w:rPr>
      <w:color w:val="0563C1" w:themeColor="hyperlink"/>
      <w:u w:val="single"/>
    </w:rPr>
  </w:style>
  <w:style w:type="table" w:styleId="TableGrid">
    <w:name w:val="Table Grid"/>
    <w:basedOn w:val="TableNormal"/>
    <w:uiPriority w:val="59"/>
    <w:rsid w:val="0090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91E7C"/>
    <w:rPr>
      <w:rFonts w:ascii="Georgia" w:eastAsiaTheme="majorEastAsia" w:hAnsi="Georgia" w:cstheme="majorBidi"/>
      <w:b/>
      <w:color w:val="FFFFFF" w:themeColor="background1"/>
      <w:lang w:eastAsia="ja-JP"/>
    </w:rPr>
  </w:style>
  <w:style w:type="paragraph" w:customStyle="1" w:styleId="Bodywhite">
    <w:name w:val="Body white"/>
    <w:basedOn w:val="BodyText2"/>
    <w:autoRedefine/>
    <w:qFormat/>
    <w:rsid w:val="00657CA3"/>
    <w:pPr>
      <w:tabs>
        <w:tab w:val="left" w:pos="3863"/>
      </w:tabs>
      <w:spacing w:after="200" w:line="240" w:lineRule="auto"/>
      <w:jc w:val="both"/>
    </w:pPr>
    <w:rPr>
      <w:rFonts w:eastAsia="Times New Roman" w:cs="Arial"/>
      <w:i/>
      <w:iCs/>
      <w:color w:val="FFFFFF" w:themeColor="background1"/>
      <w:sz w:val="15"/>
      <w:szCs w:val="15"/>
      <w:lang w:val="en-US" w:eastAsia="ja-JP"/>
    </w:rPr>
  </w:style>
  <w:style w:type="paragraph" w:styleId="BodyText2">
    <w:name w:val="Body Text 2"/>
    <w:basedOn w:val="Normal"/>
    <w:link w:val="BodyText2Char"/>
    <w:uiPriority w:val="99"/>
    <w:semiHidden/>
    <w:unhideWhenUsed/>
    <w:rsid w:val="00902904"/>
    <w:pPr>
      <w:spacing w:line="480" w:lineRule="auto"/>
    </w:pPr>
  </w:style>
  <w:style w:type="character" w:customStyle="1" w:styleId="BodyText2Char">
    <w:name w:val="Body Text 2 Char"/>
    <w:basedOn w:val="DefaultParagraphFont"/>
    <w:link w:val="BodyText2"/>
    <w:uiPriority w:val="99"/>
    <w:semiHidden/>
    <w:rsid w:val="00902904"/>
  </w:style>
  <w:style w:type="character" w:customStyle="1" w:styleId="Heading2Char">
    <w:name w:val="Heading 2 Char"/>
    <w:basedOn w:val="DefaultParagraphFont"/>
    <w:link w:val="Heading2"/>
    <w:uiPriority w:val="9"/>
    <w:rsid w:val="0042648A"/>
    <w:rPr>
      <w:rFonts w:asciiTheme="majorHAnsi" w:eastAsiaTheme="majorEastAsia" w:hAnsiTheme="majorHAnsi" w:cstheme="majorBidi"/>
      <w:b/>
      <w:color w:val="2E74B5" w:themeColor="accent1" w:themeShade="BF"/>
      <w:szCs w:val="26"/>
    </w:rPr>
  </w:style>
  <w:style w:type="paragraph" w:customStyle="1" w:styleId="Bodybullets">
    <w:name w:val="Body bullets"/>
    <w:basedOn w:val="Normal"/>
    <w:uiPriority w:val="99"/>
    <w:qFormat/>
    <w:rsid w:val="00A55842"/>
    <w:pPr>
      <w:numPr>
        <w:numId w:val="11"/>
      </w:numPr>
      <w:tabs>
        <w:tab w:val="left" w:pos="1134"/>
      </w:tabs>
      <w:spacing w:after="0"/>
    </w:pPr>
    <w:rPr>
      <w:rFonts w:ascii="Georgia" w:eastAsiaTheme="minorEastAsia" w:hAnsi="Georgia"/>
      <w:i/>
      <w:szCs w:val="24"/>
      <w:lang w:eastAsia="ja-JP"/>
    </w:rPr>
  </w:style>
  <w:style w:type="paragraph" w:styleId="ListBullet">
    <w:name w:val="List Bullet"/>
    <w:basedOn w:val="Normal"/>
    <w:uiPriority w:val="99"/>
    <w:unhideWhenUsed/>
    <w:rsid w:val="00C950F7"/>
    <w:pPr>
      <w:numPr>
        <w:numId w:val="1"/>
      </w:numPr>
    </w:pPr>
    <w:rPr>
      <w:i/>
      <w:sz w:val="15"/>
      <w:szCs w:val="15"/>
      <w:lang w:val="en-US"/>
    </w:rPr>
  </w:style>
  <w:style w:type="paragraph" w:customStyle="1" w:styleId="Blackintros">
    <w:name w:val="Black intros"/>
    <w:basedOn w:val="Normal"/>
    <w:uiPriority w:val="99"/>
    <w:rsid w:val="00C950F7"/>
    <w:pPr>
      <w:widowControl w:val="0"/>
      <w:suppressAutoHyphens/>
      <w:autoSpaceDE w:val="0"/>
      <w:autoSpaceDN w:val="0"/>
      <w:adjustRightInd w:val="0"/>
      <w:spacing w:line="240" w:lineRule="atLeast"/>
      <w:textAlignment w:val="center"/>
    </w:pPr>
    <w:rPr>
      <w:rFonts w:ascii="Georgia" w:eastAsiaTheme="minorEastAsia" w:hAnsi="Georgia" w:cs="Serif72Beta-Italic"/>
      <w:color w:val="000000"/>
      <w:sz w:val="22"/>
      <w:u w:color="008B98"/>
      <w:lang w:eastAsia="ja-JP"/>
    </w:rPr>
  </w:style>
  <w:style w:type="paragraph" w:customStyle="1" w:styleId="BasicParagraph">
    <w:name w:val="[Basic Paragraph]"/>
    <w:basedOn w:val="Normal"/>
    <w:uiPriority w:val="99"/>
    <w:rsid w:val="00550EF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paragraph" w:styleId="ListParagraph">
    <w:name w:val="List Paragraph"/>
    <w:basedOn w:val="Normal"/>
    <w:uiPriority w:val="34"/>
    <w:qFormat/>
    <w:rsid w:val="00550EFF"/>
    <w:pPr>
      <w:ind w:left="720"/>
      <w:contextualSpacing/>
    </w:pPr>
  </w:style>
  <w:style w:type="paragraph" w:styleId="BalloonText">
    <w:name w:val="Balloon Text"/>
    <w:basedOn w:val="Normal"/>
    <w:link w:val="BalloonTextChar"/>
    <w:uiPriority w:val="99"/>
    <w:semiHidden/>
    <w:unhideWhenUsed/>
    <w:rsid w:val="000B12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247"/>
    <w:rPr>
      <w:rFonts w:ascii="Segoe UI" w:hAnsi="Segoe UI" w:cs="Segoe UI"/>
      <w:sz w:val="18"/>
      <w:szCs w:val="18"/>
    </w:rPr>
  </w:style>
  <w:style w:type="character" w:styleId="CommentReference">
    <w:name w:val="annotation reference"/>
    <w:basedOn w:val="DefaultParagraphFont"/>
    <w:uiPriority w:val="99"/>
    <w:semiHidden/>
    <w:unhideWhenUsed/>
    <w:rsid w:val="00193260"/>
    <w:rPr>
      <w:sz w:val="16"/>
      <w:szCs w:val="16"/>
    </w:rPr>
  </w:style>
  <w:style w:type="paragraph" w:styleId="CommentText">
    <w:name w:val="annotation text"/>
    <w:basedOn w:val="Normal"/>
    <w:link w:val="CommentTextChar"/>
    <w:uiPriority w:val="99"/>
    <w:semiHidden/>
    <w:unhideWhenUsed/>
    <w:rsid w:val="00193260"/>
    <w:rPr>
      <w:sz w:val="20"/>
      <w:szCs w:val="20"/>
    </w:rPr>
  </w:style>
  <w:style w:type="character" w:customStyle="1" w:styleId="CommentTextChar">
    <w:name w:val="Comment Text Char"/>
    <w:basedOn w:val="DefaultParagraphFont"/>
    <w:link w:val="CommentText"/>
    <w:uiPriority w:val="99"/>
    <w:semiHidden/>
    <w:rsid w:val="00193260"/>
    <w:rPr>
      <w:sz w:val="20"/>
      <w:szCs w:val="20"/>
    </w:rPr>
  </w:style>
  <w:style w:type="paragraph" w:styleId="CommentSubject">
    <w:name w:val="annotation subject"/>
    <w:basedOn w:val="CommentText"/>
    <w:next w:val="CommentText"/>
    <w:link w:val="CommentSubjectChar"/>
    <w:uiPriority w:val="99"/>
    <w:semiHidden/>
    <w:unhideWhenUsed/>
    <w:rsid w:val="00193260"/>
    <w:rPr>
      <w:b/>
      <w:bCs/>
    </w:rPr>
  </w:style>
  <w:style w:type="character" w:customStyle="1" w:styleId="CommentSubjectChar">
    <w:name w:val="Comment Subject Char"/>
    <w:basedOn w:val="CommentTextChar"/>
    <w:link w:val="CommentSubject"/>
    <w:uiPriority w:val="99"/>
    <w:semiHidden/>
    <w:rsid w:val="00193260"/>
    <w:rPr>
      <w:b/>
      <w:bCs/>
      <w:sz w:val="20"/>
      <w:szCs w:val="20"/>
    </w:rPr>
  </w:style>
  <w:style w:type="paragraph" w:styleId="EndnoteText">
    <w:name w:val="endnote text"/>
    <w:basedOn w:val="Normal"/>
    <w:link w:val="EndnoteTextChar"/>
    <w:uiPriority w:val="99"/>
    <w:semiHidden/>
    <w:unhideWhenUsed/>
    <w:rsid w:val="00EE27B1"/>
    <w:pPr>
      <w:spacing w:after="0"/>
    </w:pPr>
    <w:rPr>
      <w:sz w:val="20"/>
      <w:szCs w:val="20"/>
    </w:rPr>
  </w:style>
  <w:style w:type="character" w:customStyle="1" w:styleId="EndnoteTextChar">
    <w:name w:val="Endnote Text Char"/>
    <w:basedOn w:val="DefaultParagraphFont"/>
    <w:link w:val="EndnoteText"/>
    <w:uiPriority w:val="99"/>
    <w:semiHidden/>
    <w:rsid w:val="00EE27B1"/>
    <w:rPr>
      <w:sz w:val="20"/>
      <w:szCs w:val="20"/>
    </w:rPr>
  </w:style>
  <w:style w:type="character" w:styleId="EndnoteReference">
    <w:name w:val="endnote reference"/>
    <w:basedOn w:val="DefaultParagraphFont"/>
    <w:uiPriority w:val="99"/>
    <w:semiHidden/>
    <w:unhideWhenUsed/>
    <w:rsid w:val="00EE27B1"/>
    <w:rPr>
      <w:vertAlign w:val="superscript"/>
    </w:rPr>
  </w:style>
  <w:style w:type="paragraph" w:styleId="NormalWeb">
    <w:name w:val="Normal (Web)"/>
    <w:basedOn w:val="Normal"/>
    <w:uiPriority w:val="99"/>
    <w:semiHidden/>
    <w:unhideWhenUsed/>
    <w:rsid w:val="005E4493"/>
    <w:rPr>
      <w:rFonts w:ascii="Times New Roman" w:hAnsi="Times New Roman" w:cs="Times New Roman"/>
      <w:sz w:val="24"/>
      <w:szCs w:val="24"/>
    </w:rPr>
  </w:style>
  <w:style w:type="table" w:customStyle="1" w:styleId="TableGrid1">
    <w:name w:val="Table Grid1"/>
    <w:basedOn w:val="TableNormal"/>
    <w:next w:val="TableGrid"/>
    <w:uiPriority w:val="59"/>
    <w:rsid w:val="00A2572C"/>
    <w:pPr>
      <w:spacing w:after="220" w:line="288" w:lineRule="auto"/>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D4C43"/>
    <w:pPr>
      <w:spacing w:before="240" w:after="0" w:line="259" w:lineRule="auto"/>
      <w:outlineLvl w:val="9"/>
    </w:pPr>
    <w:rPr>
      <w:rFonts w:asciiTheme="majorHAnsi" w:hAnsiTheme="majorHAnsi"/>
      <w:b w:val="0"/>
      <w:color w:val="2E74B5" w:themeColor="accent1" w:themeShade="BF"/>
      <w:sz w:val="32"/>
      <w:szCs w:val="32"/>
      <w:lang w:val="en-US" w:eastAsia="en-US"/>
    </w:rPr>
  </w:style>
  <w:style w:type="paragraph" w:styleId="TOC2">
    <w:name w:val="toc 2"/>
    <w:basedOn w:val="Normal"/>
    <w:next w:val="Normal"/>
    <w:autoRedefine/>
    <w:uiPriority w:val="39"/>
    <w:unhideWhenUsed/>
    <w:rsid w:val="00AD4C43"/>
    <w:pPr>
      <w:spacing w:after="100" w:line="259" w:lineRule="auto"/>
      <w:ind w:left="220"/>
    </w:pPr>
    <w:rPr>
      <w:rFonts w:eastAsiaTheme="minorEastAsia" w:cs="Times New Roman"/>
      <w:sz w:val="22"/>
      <w:lang w:val="en-US"/>
    </w:rPr>
  </w:style>
  <w:style w:type="paragraph" w:styleId="TOC1">
    <w:name w:val="toc 1"/>
    <w:basedOn w:val="Normal"/>
    <w:next w:val="Normal"/>
    <w:autoRedefine/>
    <w:uiPriority w:val="39"/>
    <w:unhideWhenUsed/>
    <w:rsid w:val="00AD4C43"/>
    <w:pPr>
      <w:spacing w:after="100" w:line="259" w:lineRule="auto"/>
    </w:pPr>
    <w:rPr>
      <w:rFonts w:eastAsiaTheme="minorEastAsia" w:cs="Times New Roman"/>
      <w:sz w:val="22"/>
      <w:lang w:val="en-US"/>
    </w:rPr>
  </w:style>
  <w:style w:type="paragraph" w:styleId="TOC3">
    <w:name w:val="toc 3"/>
    <w:basedOn w:val="Normal"/>
    <w:next w:val="Normal"/>
    <w:autoRedefine/>
    <w:uiPriority w:val="39"/>
    <w:unhideWhenUsed/>
    <w:rsid w:val="00AD4C43"/>
    <w:pPr>
      <w:spacing w:after="100" w:line="259" w:lineRule="auto"/>
      <w:ind w:left="440"/>
    </w:pPr>
    <w:rPr>
      <w:rFonts w:eastAsiaTheme="minorEastAsia"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817">
      <w:bodyDiv w:val="1"/>
      <w:marLeft w:val="0"/>
      <w:marRight w:val="0"/>
      <w:marTop w:val="0"/>
      <w:marBottom w:val="0"/>
      <w:divBdr>
        <w:top w:val="none" w:sz="0" w:space="0" w:color="auto"/>
        <w:left w:val="none" w:sz="0" w:space="0" w:color="auto"/>
        <w:bottom w:val="none" w:sz="0" w:space="0" w:color="auto"/>
        <w:right w:val="none" w:sz="0" w:space="0" w:color="auto"/>
      </w:divBdr>
    </w:div>
    <w:div w:id="50815640">
      <w:bodyDiv w:val="1"/>
      <w:marLeft w:val="0"/>
      <w:marRight w:val="0"/>
      <w:marTop w:val="0"/>
      <w:marBottom w:val="0"/>
      <w:divBdr>
        <w:top w:val="none" w:sz="0" w:space="0" w:color="auto"/>
        <w:left w:val="none" w:sz="0" w:space="0" w:color="auto"/>
        <w:bottom w:val="none" w:sz="0" w:space="0" w:color="auto"/>
        <w:right w:val="none" w:sz="0" w:space="0" w:color="auto"/>
      </w:divBdr>
    </w:div>
    <w:div w:id="84691120">
      <w:bodyDiv w:val="1"/>
      <w:marLeft w:val="0"/>
      <w:marRight w:val="0"/>
      <w:marTop w:val="0"/>
      <w:marBottom w:val="0"/>
      <w:divBdr>
        <w:top w:val="none" w:sz="0" w:space="0" w:color="auto"/>
        <w:left w:val="none" w:sz="0" w:space="0" w:color="auto"/>
        <w:bottom w:val="none" w:sz="0" w:space="0" w:color="auto"/>
        <w:right w:val="none" w:sz="0" w:space="0" w:color="auto"/>
      </w:divBdr>
    </w:div>
    <w:div w:id="146289277">
      <w:bodyDiv w:val="1"/>
      <w:marLeft w:val="0"/>
      <w:marRight w:val="0"/>
      <w:marTop w:val="0"/>
      <w:marBottom w:val="0"/>
      <w:divBdr>
        <w:top w:val="none" w:sz="0" w:space="0" w:color="auto"/>
        <w:left w:val="none" w:sz="0" w:space="0" w:color="auto"/>
        <w:bottom w:val="none" w:sz="0" w:space="0" w:color="auto"/>
        <w:right w:val="none" w:sz="0" w:space="0" w:color="auto"/>
      </w:divBdr>
    </w:div>
    <w:div w:id="195318682">
      <w:bodyDiv w:val="1"/>
      <w:marLeft w:val="0"/>
      <w:marRight w:val="0"/>
      <w:marTop w:val="0"/>
      <w:marBottom w:val="0"/>
      <w:divBdr>
        <w:top w:val="none" w:sz="0" w:space="0" w:color="auto"/>
        <w:left w:val="none" w:sz="0" w:space="0" w:color="auto"/>
        <w:bottom w:val="none" w:sz="0" w:space="0" w:color="auto"/>
        <w:right w:val="none" w:sz="0" w:space="0" w:color="auto"/>
      </w:divBdr>
    </w:div>
    <w:div w:id="225192745">
      <w:bodyDiv w:val="1"/>
      <w:marLeft w:val="0"/>
      <w:marRight w:val="0"/>
      <w:marTop w:val="0"/>
      <w:marBottom w:val="0"/>
      <w:divBdr>
        <w:top w:val="none" w:sz="0" w:space="0" w:color="auto"/>
        <w:left w:val="none" w:sz="0" w:space="0" w:color="auto"/>
        <w:bottom w:val="none" w:sz="0" w:space="0" w:color="auto"/>
        <w:right w:val="none" w:sz="0" w:space="0" w:color="auto"/>
      </w:divBdr>
    </w:div>
    <w:div w:id="276571832">
      <w:bodyDiv w:val="1"/>
      <w:marLeft w:val="0"/>
      <w:marRight w:val="0"/>
      <w:marTop w:val="0"/>
      <w:marBottom w:val="0"/>
      <w:divBdr>
        <w:top w:val="none" w:sz="0" w:space="0" w:color="auto"/>
        <w:left w:val="none" w:sz="0" w:space="0" w:color="auto"/>
        <w:bottom w:val="none" w:sz="0" w:space="0" w:color="auto"/>
        <w:right w:val="none" w:sz="0" w:space="0" w:color="auto"/>
      </w:divBdr>
    </w:div>
    <w:div w:id="292367329">
      <w:bodyDiv w:val="1"/>
      <w:marLeft w:val="0"/>
      <w:marRight w:val="0"/>
      <w:marTop w:val="0"/>
      <w:marBottom w:val="0"/>
      <w:divBdr>
        <w:top w:val="none" w:sz="0" w:space="0" w:color="auto"/>
        <w:left w:val="none" w:sz="0" w:space="0" w:color="auto"/>
        <w:bottom w:val="none" w:sz="0" w:space="0" w:color="auto"/>
        <w:right w:val="none" w:sz="0" w:space="0" w:color="auto"/>
      </w:divBdr>
    </w:div>
    <w:div w:id="292490542">
      <w:bodyDiv w:val="1"/>
      <w:marLeft w:val="0"/>
      <w:marRight w:val="0"/>
      <w:marTop w:val="0"/>
      <w:marBottom w:val="0"/>
      <w:divBdr>
        <w:top w:val="none" w:sz="0" w:space="0" w:color="auto"/>
        <w:left w:val="none" w:sz="0" w:space="0" w:color="auto"/>
        <w:bottom w:val="none" w:sz="0" w:space="0" w:color="auto"/>
        <w:right w:val="none" w:sz="0" w:space="0" w:color="auto"/>
      </w:divBdr>
    </w:div>
    <w:div w:id="315377806">
      <w:bodyDiv w:val="1"/>
      <w:marLeft w:val="0"/>
      <w:marRight w:val="0"/>
      <w:marTop w:val="0"/>
      <w:marBottom w:val="0"/>
      <w:divBdr>
        <w:top w:val="none" w:sz="0" w:space="0" w:color="auto"/>
        <w:left w:val="none" w:sz="0" w:space="0" w:color="auto"/>
        <w:bottom w:val="none" w:sz="0" w:space="0" w:color="auto"/>
        <w:right w:val="none" w:sz="0" w:space="0" w:color="auto"/>
      </w:divBdr>
    </w:div>
    <w:div w:id="319114581">
      <w:bodyDiv w:val="1"/>
      <w:marLeft w:val="0"/>
      <w:marRight w:val="0"/>
      <w:marTop w:val="0"/>
      <w:marBottom w:val="0"/>
      <w:divBdr>
        <w:top w:val="none" w:sz="0" w:space="0" w:color="auto"/>
        <w:left w:val="none" w:sz="0" w:space="0" w:color="auto"/>
        <w:bottom w:val="none" w:sz="0" w:space="0" w:color="auto"/>
        <w:right w:val="none" w:sz="0" w:space="0" w:color="auto"/>
      </w:divBdr>
    </w:div>
    <w:div w:id="332727527">
      <w:bodyDiv w:val="1"/>
      <w:marLeft w:val="0"/>
      <w:marRight w:val="0"/>
      <w:marTop w:val="0"/>
      <w:marBottom w:val="0"/>
      <w:divBdr>
        <w:top w:val="none" w:sz="0" w:space="0" w:color="auto"/>
        <w:left w:val="none" w:sz="0" w:space="0" w:color="auto"/>
        <w:bottom w:val="none" w:sz="0" w:space="0" w:color="auto"/>
        <w:right w:val="none" w:sz="0" w:space="0" w:color="auto"/>
      </w:divBdr>
    </w:div>
    <w:div w:id="464389840">
      <w:bodyDiv w:val="1"/>
      <w:marLeft w:val="0"/>
      <w:marRight w:val="0"/>
      <w:marTop w:val="0"/>
      <w:marBottom w:val="0"/>
      <w:divBdr>
        <w:top w:val="none" w:sz="0" w:space="0" w:color="auto"/>
        <w:left w:val="none" w:sz="0" w:space="0" w:color="auto"/>
        <w:bottom w:val="none" w:sz="0" w:space="0" w:color="auto"/>
        <w:right w:val="none" w:sz="0" w:space="0" w:color="auto"/>
      </w:divBdr>
    </w:div>
    <w:div w:id="513492123">
      <w:bodyDiv w:val="1"/>
      <w:marLeft w:val="0"/>
      <w:marRight w:val="0"/>
      <w:marTop w:val="0"/>
      <w:marBottom w:val="0"/>
      <w:divBdr>
        <w:top w:val="none" w:sz="0" w:space="0" w:color="auto"/>
        <w:left w:val="none" w:sz="0" w:space="0" w:color="auto"/>
        <w:bottom w:val="none" w:sz="0" w:space="0" w:color="auto"/>
        <w:right w:val="none" w:sz="0" w:space="0" w:color="auto"/>
      </w:divBdr>
    </w:div>
    <w:div w:id="529800359">
      <w:bodyDiv w:val="1"/>
      <w:marLeft w:val="0"/>
      <w:marRight w:val="0"/>
      <w:marTop w:val="0"/>
      <w:marBottom w:val="0"/>
      <w:divBdr>
        <w:top w:val="none" w:sz="0" w:space="0" w:color="auto"/>
        <w:left w:val="none" w:sz="0" w:space="0" w:color="auto"/>
        <w:bottom w:val="none" w:sz="0" w:space="0" w:color="auto"/>
        <w:right w:val="none" w:sz="0" w:space="0" w:color="auto"/>
      </w:divBdr>
    </w:div>
    <w:div w:id="650518996">
      <w:bodyDiv w:val="1"/>
      <w:marLeft w:val="0"/>
      <w:marRight w:val="0"/>
      <w:marTop w:val="0"/>
      <w:marBottom w:val="0"/>
      <w:divBdr>
        <w:top w:val="none" w:sz="0" w:space="0" w:color="auto"/>
        <w:left w:val="none" w:sz="0" w:space="0" w:color="auto"/>
        <w:bottom w:val="none" w:sz="0" w:space="0" w:color="auto"/>
        <w:right w:val="none" w:sz="0" w:space="0" w:color="auto"/>
      </w:divBdr>
    </w:div>
    <w:div w:id="671030193">
      <w:bodyDiv w:val="1"/>
      <w:marLeft w:val="0"/>
      <w:marRight w:val="0"/>
      <w:marTop w:val="0"/>
      <w:marBottom w:val="0"/>
      <w:divBdr>
        <w:top w:val="none" w:sz="0" w:space="0" w:color="auto"/>
        <w:left w:val="none" w:sz="0" w:space="0" w:color="auto"/>
        <w:bottom w:val="none" w:sz="0" w:space="0" w:color="auto"/>
        <w:right w:val="none" w:sz="0" w:space="0" w:color="auto"/>
      </w:divBdr>
    </w:div>
    <w:div w:id="728841966">
      <w:bodyDiv w:val="1"/>
      <w:marLeft w:val="0"/>
      <w:marRight w:val="0"/>
      <w:marTop w:val="0"/>
      <w:marBottom w:val="0"/>
      <w:divBdr>
        <w:top w:val="none" w:sz="0" w:space="0" w:color="auto"/>
        <w:left w:val="none" w:sz="0" w:space="0" w:color="auto"/>
        <w:bottom w:val="none" w:sz="0" w:space="0" w:color="auto"/>
        <w:right w:val="none" w:sz="0" w:space="0" w:color="auto"/>
      </w:divBdr>
    </w:div>
    <w:div w:id="756370600">
      <w:bodyDiv w:val="1"/>
      <w:marLeft w:val="0"/>
      <w:marRight w:val="0"/>
      <w:marTop w:val="0"/>
      <w:marBottom w:val="0"/>
      <w:divBdr>
        <w:top w:val="none" w:sz="0" w:space="0" w:color="auto"/>
        <w:left w:val="none" w:sz="0" w:space="0" w:color="auto"/>
        <w:bottom w:val="none" w:sz="0" w:space="0" w:color="auto"/>
        <w:right w:val="none" w:sz="0" w:space="0" w:color="auto"/>
      </w:divBdr>
    </w:div>
    <w:div w:id="761680774">
      <w:bodyDiv w:val="1"/>
      <w:marLeft w:val="0"/>
      <w:marRight w:val="0"/>
      <w:marTop w:val="0"/>
      <w:marBottom w:val="0"/>
      <w:divBdr>
        <w:top w:val="none" w:sz="0" w:space="0" w:color="auto"/>
        <w:left w:val="none" w:sz="0" w:space="0" w:color="auto"/>
        <w:bottom w:val="none" w:sz="0" w:space="0" w:color="auto"/>
        <w:right w:val="none" w:sz="0" w:space="0" w:color="auto"/>
      </w:divBdr>
    </w:div>
    <w:div w:id="797381352">
      <w:bodyDiv w:val="1"/>
      <w:marLeft w:val="0"/>
      <w:marRight w:val="0"/>
      <w:marTop w:val="0"/>
      <w:marBottom w:val="0"/>
      <w:divBdr>
        <w:top w:val="none" w:sz="0" w:space="0" w:color="auto"/>
        <w:left w:val="none" w:sz="0" w:space="0" w:color="auto"/>
        <w:bottom w:val="none" w:sz="0" w:space="0" w:color="auto"/>
        <w:right w:val="none" w:sz="0" w:space="0" w:color="auto"/>
      </w:divBdr>
    </w:div>
    <w:div w:id="859854446">
      <w:bodyDiv w:val="1"/>
      <w:marLeft w:val="0"/>
      <w:marRight w:val="0"/>
      <w:marTop w:val="0"/>
      <w:marBottom w:val="0"/>
      <w:divBdr>
        <w:top w:val="none" w:sz="0" w:space="0" w:color="auto"/>
        <w:left w:val="none" w:sz="0" w:space="0" w:color="auto"/>
        <w:bottom w:val="none" w:sz="0" w:space="0" w:color="auto"/>
        <w:right w:val="none" w:sz="0" w:space="0" w:color="auto"/>
      </w:divBdr>
    </w:div>
    <w:div w:id="1037698639">
      <w:bodyDiv w:val="1"/>
      <w:marLeft w:val="0"/>
      <w:marRight w:val="0"/>
      <w:marTop w:val="0"/>
      <w:marBottom w:val="0"/>
      <w:divBdr>
        <w:top w:val="none" w:sz="0" w:space="0" w:color="auto"/>
        <w:left w:val="none" w:sz="0" w:space="0" w:color="auto"/>
        <w:bottom w:val="none" w:sz="0" w:space="0" w:color="auto"/>
        <w:right w:val="none" w:sz="0" w:space="0" w:color="auto"/>
      </w:divBdr>
    </w:div>
    <w:div w:id="1212037487">
      <w:bodyDiv w:val="1"/>
      <w:marLeft w:val="0"/>
      <w:marRight w:val="0"/>
      <w:marTop w:val="0"/>
      <w:marBottom w:val="0"/>
      <w:divBdr>
        <w:top w:val="none" w:sz="0" w:space="0" w:color="auto"/>
        <w:left w:val="none" w:sz="0" w:space="0" w:color="auto"/>
        <w:bottom w:val="none" w:sz="0" w:space="0" w:color="auto"/>
        <w:right w:val="none" w:sz="0" w:space="0" w:color="auto"/>
      </w:divBdr>
    </w:div>
    <w:div w:id="1239510571">
      <w:bodyDiv w:val="1"/>
      <w:marLeft w:val="0"/>
      <w:marRight w:val="0"/>
      <w:marTop w:val="0"/>
      <w:marBottom w:val="0"/>
      <w:divBdr>
        <w:top w:val="none" w:sz="0" w:space="0" w:color="auto"/>
        <w:left w:val="none" w:sz="0" w:space="0" w:color="auto"/>
        <w:bottom w:val="none" w:sz="0" w:space="0" w:color="auto"/>
        <w:right w:val="none" w:sz="0" w:space="0" w:color="auto"/>
      </w:divBdr>
    </w:div>
    <w:div w:id="1324504506">
      <w:bodyDiv w:val="1"/>
      <w:marLeft w:val="0"/>
      <w:marRight w:val="0"/>
      <w:marTop w:val="0"/>
      <w:marBottom w:val="0"/>
      <w:divBdr>
        <w:top w:val="none" w:sz="0" w:space="0" w:color="auto"/>
        <w:left w:val="none" w:sz="0" w:space="0" w:color="auto"/>
        <w:bottom w:val="none" w:sz="0" w:space="0" w:color="auto"/>
        <w:right w:val="none" w:sz="0" w:space="0" w:color="auto"/>
      </w:divBdr>
    </w:div>
    <w:div w:id="1339427794">
      <w:bodyDiv w:val="1"/>
      <w:marLeft w:val="0"/>
      <w:marRight w:val="0"/>
      <w:marTop w:val="0"/>
      <w:marBottom w:val="0"/>
      <w:divBdr>
        <w:top w:val="none" w:sz="0" w:space="0" w:color="auto"/>
        <w:left w:val="none" w:sz="0" w:space="0" w:color="auto"/>
        <w:bottom w:val="none" w:sz="0" w:space="0" w:color="auto"/>
        <w:right w:val="none" w:sz="0" w:space="0" w:color="auto"/>
      </w:divBdr>
    </w:div>
    <w:div w:id="1452548627">
      <w:bodyDiv w:val="1"/>
      <w:marLeft w:val="0"/>
      <w:marRight w:val="0"/>
      <w:marTop w:val="0"/>
      <w:marBottom w:val="0"/>
      <w:divBdr>
        <w:top w:val="none" w:sz="0" w:space="0" w:color="auto"/>
        <w:left w:val="none" w:sz="0" w:space="0" w:color="auto"/>
        <w:bottom w:val="none" w:sz="0" w:space="0" w:color="auto"/>
        <w:right w:val="none" w:sz="0" w:space="0" w:color="auto"/>
      </w:divBdr>
    </w:div>
    <w:div w:id="1505365752">
      <w:bodyDiv w:val="1"/>
      <w:marLeft w:val="0"/>
      <w:marRight w:val="0"/>
      <w:marTop w:val="0"/>
      <w:marBottom w:val="0"/>
      <w:divBdr>
        <w:top w:val="none" w:sz="0" w:space="0" w:color="auto"/>
        <w:left w:val="none" w:sz="0" w:space="0" w:color="auto"/>
        <w:bottom w:val="none" w:sz="0" w:space="0" w:color="auto"/>
        <w:right w:val="none" w:sz="0" w:space="0" w:color="auto"/>
      </w:divBdr>
    </w:div>
    <w:div w:id="1543401702">
      <w:bodyDiv w:val="1"/>
      <w:marLeft w:val="0"/>
      <w:marRight w:val="0"/>
      <w:marTop w:val="0"/>
      <w:marBottom w:val="0"/>
      <w:divBdr>
        <w:top w:val="none" w:sz="0" w:space="0" w:color="auto"/>
        <w:left w:val="none" w:sz="0" w:space="0" w:color="auto"/>
        <w:bottom w:val="none" w:sz="0" w:space="0" w:color="auto"/>
        <w:right w:val="none" w:sz="0" w:space="0" w:color="auto"/>
      </w:divBdr>
    </w:div>
    <w:div w:id="1590581192">
      <w:bodyDiv w:val="1"/>
      <w:marLeft w:val="0"/>
      <w:marRight w:val="0"/>
      <w:marTop w:val="0"/>
      <w:marBottom w:val="0"/>
      <w:divBdr>
        <w:top w:val="none" w:sz="0" w:space="0" w:color="auto"/>
        <w:left w:val="none" w:sz="0" w:space="0" w:color="auto"/>
        <w:bottom w:val="none" w:sz="0" w:space="0" w:color="auto"/>
        <w:right w:val="none" w:sz="0" w:space="0" w:color="auto"/>
      </w:divBdr>
    </w:div>
    <w:div w:id="1609314886">
      <w:bodyDiv w:val="1"/>
      <w:marLeft w:val="0"/>
      <w:marRight w:val="0"/>
      <w:marTop w:val="0"/>
      <w:marBottom w:val="0"/>
      <w:divBdr>
        <w:top w:val="none" w:sz="0" w:space="0" w:color="auto"/>
        <w:left w:val="none" w:sz="0" w:space="0" w:color="auto"/>
        <w:bottom w:val="none" w:sz="0" w:space="0" w:color="auto"/>
        <w:right w:val="none" w:sz="0" w:space="0" w:color="auto"/>
      </w:divBdr>
    </w:div>
    <w:div w:id="1640040384">
      <w:bodyDiv w:val="1"/>
      <w:marLeft w:val="0"/>
      <w:marRight w:val="0"/>
      <w:marTop w:val="0"/>
      <w:marBottom w:val="0"/>
      <w:divBdr>
        <w:top w:val="none" w:sz="0" w:space="0" w:color="auto"/>
        <w:left w:val="none" w:sz="0" w:space="0" w:color="auto"/>
        <w:bottom w:val="none" w:sz="0" w:space="0" w:color="auto"/>
        <w:right w:val="none" w:sz="0" w:space="0" w:color="auto"/>
      </w:divBdr>
    </w:div>
    <w:div w:id="1642733486">
      <w:bodyDiv w:val="1"/>
      <w:marLeft w:val="0"/>
      <w:marRight w:val="0"/>
      <w:marTop w:val="0"/>
      <w:marBottom w:val="0"/>
      <w:divBdr>
        <w:top w:val="none" w:sz="0" w:space="0" w:color="auto"/>
        <w:left w:val="none" w:sz="0" w:space="0" w:color="auto"/>
        <w:bottom w:val="none" w:sz="0" w:space="0" w:color="auto"/>
        <w:right w:val="none" w:sz="0" w:space="0" w:color="auto"/>
      </w:divBdr>
    </w:div>
    <w:div w:id="1671059421">
      <w:bodyDiv w:val="1"/>
      <w:marLeft w:val="0"/>
      <w:marRight w:val="0"/>
      <w:marTop w:val="0"/>
      <w:marBottom w:val="0"/>
      <w:divBdr>
        <w:top w:val="none" w:sz="0" w:space="0" w:color="auto"/>
        <w:left w:val="none" w:sz="0" w:space="0" w:color="auto"/>
        <w:bottom w:val="none" w:sz="0" w:space="0" w:color="auto"/>
        <w:right w:val="none" w:sz="0" w:space="0" w:color="auto"/>
      </w:divBdr>
    </w:div>
    <w:div w:id="1674919852">
      <w:bodyDiv w:val="1"/>
      <w:marLeft w:val="0"/>
      <w:marRight w:val="0"/>
      <w:marTop w:val="0"/>
      <w:marBottom w:val="0"/>
      <w:divBdr>
        <w:top w:val="none" w:sz="0" w:space="0" w:color="auto"/>
        <w:left w:val="none" w:sz="0" w:space="0" w:color="auto"/>
        <w:bottom w:val="none" w:sz="0" w:space="0" w:color="auto"/>
        <w:right w:val="none" w:sz="0" w:space="0" w:color="auto"/>
      </w:divBdr>
    </w:div>
    <w:div w:id="1717855789">
      <w:bodyDiv w:val="1"/>
      <w:marLeft w:val="0"/>
      <w:marRight w:val="0"/>
      <w:marTop w:val="0"/>
      <w:marBottom w:val="0"/>
      <w:divBdr>
        <w:top w:val="none" w:sz="0" w:space="0" w:color="auto"/>
        <w:left w:val="none" w:sz="0" w:space="0" w:color="auto"/>
        <w:bottom w:val="none" w:sz="0" w:space="0" w:color="auto"/>
        <w:right w:val="none" w:sz="0" w:space="0" w:color="auto"/>
      </w:divBdr>
    </w:div>
    <w:div w:id="1731725748">
      <w:bodyDiv w:val="1"/>
      <w:marLeft w:val="0"/>
      <w:marRight w:val="0"/>
      <w:marTop w:val="0"/>
      <w:marBottom w:val="0"/>
      <w:divBdr>
        <w:top w:val="none" w:sz="0" w:space="0" w:color="auto"/>
        <w:left w:val="none" w:sz="0" w:space="0" w:color="auto"/>
        <w:bottom w:val="none" w:sz="0" w:space="0" w:color="auto"/>
        <w:right w:val="none" w:sz="0" w:space="0" w:color="auto"/>
      </w:divBdr>
    </w:div>
    <w:div w:id="1938520178">
      <w:bodyDiv w:val="1"/>
      <w:marLeft w:val="0"/>
      <w:marRight w:val="0"/>
      <w:marTop w:val="0"/>
      <w:marBottom w:val="0"/>
      <w:divBdr>
        <w:top w:val="none" w:sz="0" w:space="0" w:color="auto"/>
        <w:left w:val="none" w:sz="0" w:space="0" w:color="auto"/>
        <w:bottom w:val="none" w:sz="0" w:space="0" w:color="auto"/>
        <w:right w:val="none" w:sz="0" w:space="0" w:color="auto"/>
      </w:divBdr>
    </w:div>
    <w:div w:id="2005040799">
      <w:bodyDiv w:val="1"/>
      <w:marLeft w:val="0"/>
      <w:marRight w:val="0"/>
      <w:marTop w:val="0"/>
      <w:marBottom w:val="0"/>
      <w:divBdr>
        <w:top w:val="none" w:sz="0" w:space="0" w:color="auto"/>
        <w:left w:val="none" w:sz="0" w:space="0" w:color="auto"/>
        <w:bottom w:val="none" w:sz="0" w:space="0" w:color="auto"/>
        <w:right w:val="none" w:sz="0" w:space="0" w:color="auto"/>
      </w:divBdr>
    </w:div>
    <w:div w:id="21271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zc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zc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Y_Board_Relationship_Team@nt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zcp.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43C3-3BDA-4104-8490-9B639832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FTI Consulting</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Creswell</dc:creator>
  <cp:lastModifiedBy>Serena Kouzos</cp:lastModifiedBy>
  <cp:revision>2</cp:revision>
  <cp:lastPrinted>2018-01-10T11:35:00Z</cp:lastPrinted>
  <dcterms:created xsi:type="dcterms:W3CDTF">2018-01-12T16:06:00Z</dcterms:created>
  <dcterms:modified xsi:type="dcterms:W3CDTF">2018-01-12T16:06:00Z</dcterms:modified>
</cp:coreProperties>
</file>